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2" w:type="dxa"/>
        <w:jc w:val="center"/>
        <w:tblLayout w:type="fixed"/>
        <w:tblCellMar>
          <w:left w:w="0" w:type="dxa"/>
          <w:right w:w="0" w:type="dxa"/>
        </w:tblCellMar>
        <w:tblLook w:val="01E0" w:firstRow="1" w:lastRow="1" w:firstColumn="1" w:lastColumn="1" w:noHBand="0" w:noVBand="0"/>
      </w:tblPr>
      <w:tblGrid>
        <w:gridCol w:w="5681"/>
        <w:gridCol w:w="3681"/>
      </w:tblGrid>
      <w:tr w:rsidR="00EC4C39" w:rsidRPr="00D4185C" w14:paraId="6DA3E45B" w14:textId="77777777" w:rsidTr="001803F6">
        <w:trPr>
          <w:trHeight w:val="378"/>
          <w:jc w:val="center"/>
        </w:trPr>
        <w:tc>
          <w:tcPr>
            <w:tcW w:w="5681" w:type="dxa"/>
            <w:vMerge w:val="restart"/>
            <w:tcBorders>
              <w:top w:val="single" w:sz="4" w:space="0" w:color="000000"/>
              <w:bottom w:val="single" w:sz="4" w:space="0" w:color="000000"/>
            </w:tcBorders>
          </w:tcPr>
          <w:p w14:paraId="540F7348" w14:textId="77777777" w:rsidR="00EC4C39" w:rsidRPr="00D4185C" w:rsidRDefault="00EC4C39" w:rsidP="00EC4C39">
            <w:pPr>
              <w:pStyle w:val="TableParagraph"/>
              <w:spacing w:line="240" w:lineRule="auto"/>
              <w:ind w:left="1" w:hanging="3"/>
              <w:jc w:val="left"/>
              <w:rPr>
                <w:rFonts w:ascii="Garamond" w:hAnsi="Garamond"/>
                <w:b/>
                <w:sz w:val="32"/>
              </w:rPr>
            </w:pPr>
            <w:bookmarkStart w:id="0" w:name="_Hlk212457353"/>
            <w:bookmarkStart w:id="1" w:name="_Hlk219194845"/>
            <w:bookmarkEnd w:id="1"/>
            <w:r w:rsidRPr="00D4185C">
              <w:rPr>
                <w:rFonts w:ascii="Garamond" w:hAnsi="Garamond"/>
                <w:b/>
                <w:sz w:val="32"/>
              </w:rPr>
              <w:t>Journal</w:t>
            </w:r>
            <w:r w:rsidRPr="00D4185C">
              <w:rPr>
                <w:rFonts w:ascii="Garamond" w:hAnsi="Garamond"/>
                <w:b/>
                <w:spacing w:val="54"/>
                <w:sz w:val="32"/>
              </w:rPr>
              <w:t xml:space="preserve"> </w:t>
            </w:r>
            <w:r w:rsidRPr="00D4185C">
              <w:rPr>
                <w:rFonts w:ascii="Garamond" w:hAnsi="Garamond"/>
                <w:b/>
                <w:sz w:val="32"/>
              </w:rPr>
              <w:t>of</w:t>
            </w:r>
            <w:r w:rsidRPr="00D4185C">
              <w:rPr>
                <w:rFonts w:ascii="Garamond" w:hAnsi="Garamond"/>
                <w:b/>
                <w:spacing w:val="54"/>
                <w:sz w:val="32"/>
              </w:rPr>
              <w:t xml:space="preserve"> </w:t>
            </w:r>
            <w:r w:rsidRPr="00D4185C">
              <w:rPr>
                <w:rFonts w:ascii="Garamond" w:hAnsi="Garamond"/>
                <w:b/>
                <w:sz w:val="32"/>
              </w:rPr>
              <w:t>Innovative</w:t>
            </w:r>
            <w:r w:rsidRPr="00D4185C">
              <w:rPr>
                <w:rFonts w:ascii="Garamond" w:hAnsi="Garamond"/>
                <w:b/>
                <w:spacing w:val="53"/>
                <w:sz w:val="32"/>
              </w:rPr>
              <w:t xml:space="preserve"> </w:t>
            </w:r>
            <w:r w:rsidRPr="00D4185C">
              <w:rPr>
                <w:rFonts w:ascii="Garamond" w:hAnsi="Garamond"/>
                <w:b/>
                <w:sz w:val="32"/>
              </w:rPr>
              <w:t>and</w:t>
            </w:r>
            <w:r w:rsidRPr="00D4185C">
              <w:rPr>
                <w:rFonts w:ascii="Garamond" w:hAnsi="Garamond"/>
                <w:b/>
                <w:spacing w:val="55"/>
                <w:sz w:val="32"/>
              </w:rPr>
              <w:t xml:space="preserve"> </w:t>
            </w:r>
            <w:r w:rsidRPr="00D4185C">
              <w:rPr>
                <w:rFonts w:ascii="Garamond" w:hAnsi="Garamond"/>
                <w:b/>
                <w:spacing w:val="-2"/>
                <w:sz w:val="32"/>
              </w:rPr>
              <w:t>Creativity</w:t>
            </w:r>
          </w:p>
          <w:p w14:paraId="6FC66539" w14:textId="77777777" w:rsidR="00EC4C39" w:rsidRPr="00D4185C" w:rsidRDefault="00EC4C39" w:rsidP="00EC4C39">
            <w:pPr>
              <w:pStyle w:val="TableParagraph"/>
              <w:spacing w:line="240" w:lineRule="auto"/>
              <w:ind w:hanging="2"/>
              <w:jc w:val="left"/>
              <w:rPr>
                <w:rFonts w:ascii="Garamond" w:hAnsi="Garamond"/>
                <w:sz w:val="20"/>
              </w:rPr>
            </w:pPr>
            <w:r w:rsidRPr="00D4185C">
              <w:rPr>
                <w:rFonts w:ascii="Garamond" w:hAnsi="Garamond"/>
                <w:spacing w:val="-2"/>
                <w:sz w:val="20"/>
              </w:rPr>
              <w:t>Journal</w:t>
            </w:r>
            <w:r w:rsidRPr="00D4185C">
              <w:rPr>
                <w:rFonts w:ascii="Garamond" w:hAnsi="Garamond"/>
                <w:spacing w:val="24"/>
                <w:sz w:val="20"/>
              </w:rPr>
              <w:t xml:space="preserve"> </w:t>
            </w:r>
            <w:r w:rsidRPr="00D4185C">
              <w:rPr>
                <w:rFonts w:ascii="Garamond" w:hAnsi="Garamond"/>
                <w:spacing w:val="-2"/>
                <w:sz w:val="20"/>
              </w:rPr>
              <w:t>Homepage:</w:t>
            </w:r>
            <w:r w:rsidRPr="00D4185C">
              <w:rPr>
                <w:rFonts w:ascii="Garamond" w:hAnsi="Garamond"/>
                <w:spacing w:val="24"/>
                <w:sz w:val="20"/>
              </w:rPr>
              <w:t xml:space="preserve"> </w:t>
            </w:r>
            <w:hyperlink r:id="rId9">
              <w:r w:rsidRPr="00D4185C">
                <w:rPr>
                  <w:rFonts w:ascii="Garamond" w:hAnsi="Garamond"/>
                  <w:spacing w:val="-2"/>
                  <w:sz w:val="20"/>
                </w:rPr>
                <w:t>https://joecy.org/index.php/joecy</w:t>
              </w:r>
            </w:hyperlink>
          </w:p>
          <w:p w14:paraId="29263445" w14:textId="77777777" w:rsidR="00EC4C39" w:rsidRPr="00D4185C" w:rsidRDefault="00EC4C39" w:rsidP="00EC4C39">
            <w:pPr>
              <w:pStyle w:val="TableParagraph"/>
              <w:spacing w:line="240" w:lineRule="auto"/>
              <w:ind w:hanging="2"/>
              <w:jc w:val="left"/>
              <w:rPr>
                <w:rFonts w:ascii="Garamond" w:hAnsi="Garamond"/>
                <w:sz w:val="24"/>
              </w:rPr>
            </w:pPr>
            <w:r w:rsidRPr="00D4185C">
              <w:rPr>
                <w:rFonts w:ascii="Garamond" w:hAnsi="Garamond"/>
                <w:spacing w:val="-4"/>
                <w:position w:val="3"/>
                <w:sz w:val="19"/>
              </w:rPr>
              <w:t>e-mail:</w:t>
            </w:r>
            <w:r w:rsidRPr="00D4185C">
              <w:rPr>
                <w:rFonts w:ascii="Garamond" w:hAnsi="Garamond"/>
                <w:spacing w:val="35"/>
                <w:position w:val="3"/>
                <w:sz w:val="19"/>
              </w:rPr>
              <w:t xml:space="preserve"> </w:t>
            </w:r>
            <w:hyperlink r:id="rId10">
              <w:r w:rsidRPr="00D4185C">
                <w:rPr>
                  <w:rFonts w:ascii="Garamond" w:hAnsi="Garamond"/>
                  <w:spacing w:val="-4"/>
                  <w:sz w:val="24"/>
                  <w:u w:val="single" w:color="0000FF"/>
                </w:rPr>
                <w:t>journaljoecy@gmail.com</w:t>
              </w:r>
            </w:hyperlink>
          </w:p>
        </w:tc>
        <w:tc>
          <w:tcPr>
            <w:tcW w:w="3681" w:type="dxa"/>
            <w:tcBorders>
              <w:top w:val="single" w:sz="4" w:space="0" w:color="000000"/>
            </w:tcBorders>
          </w:tcPr>
          <w:p w14:paraId="39AFF895" w14:textId="77777777" w:rsidR="00EC4C39" w:rsidRPr="00D4185C" w:rsidRDefault="00EC4C39" w:rsidP="00EC4C39">
            <w:pPr>
              <w:pStyle w:val="TableParagraph"/>
              <w:spacing w:line="240" w:lineRule="auto"/>
              <w:ind w:hanging="2"/>
              <w:rPr>
                <w:rFonts w:ascii="Garamond" w:hAnsi="Garamond"/>
                <w:sz w:val="16"/>
              </w:rPr>
            </w:pPr>
            <w:r w:rsidRPr="00D4185C">
              <w:rPr>
                <w:rFonts w:ascii="Garamond" w:hAnsi="Garamond"/>
                <w:sz w:val="16"/>
              </w:rPr>
              <w:t>Faculty</w:t>
            </w:r>
            <w:r w:rsidRPr="00D4185C">
              <w:rPr>
                <w:rFonts w:ascii="Garamond" w:hAnsi="Garamond"/>
                <w:spacing w:val="16"/>
                <w:sz w:val="16"/>
              </w:rPr>
              <w:t xml:space="preserve"> </w:t>
            </w:r>
            <w:r w:rsidRPr="00D4185C">
              <w:rPr>
                <w:rFonts w:ascii="Garamond" w:hAnsi="Garamond"/>
                <w:sz w:val="16"/>
              </w:rPr>
              <w:t>of</w:t>
            </w:r>
            <w:r w:rsidRPr="00D4185C">
              <w:rPr>
                <w:rFonts w:ascii="Garamond" w:hAnsi="Garamond"/>
                <w:spacing w:val="17"/>
                <w:sz w:val="16"/>
              </w:rPr>
              <w:t xml:space="preserve"> </w:t>
            </w:r>
            <w:r w:rsidRPr="00D4185C">
              <w:rPr>
                <w:rFonts w:ascii="Garamond" w:hAnsi="Garamond"/>
                <w:spacing w:val="-2"/>
                <w:sz w:val="16"/>
              </w:rPr>
              <w:t>Education</w:t>
            </w:r>
          </w:p>
          <w:p w14:paraId="2EE04AD7" w14:textId="77777777" w:rsidR="00EC4C39" w:rsidRPr="00D4185C" w:rsidRDefault="00EC4C39" w:rsidP="00EC4C39">
            <w:pPr>
              <w:pStyle w:val="TableParagraph"/>
              <w:spacing w:line="240" w:lineRule="auto"/>
              <w:ind w:hanging="2"/>
              <w:rPr>
                <w:rFonts w:ascii="Garamond" w:hAnsi="Garamond"/>
                <w:sz w:val="16"/>
              </w:rPr>
            </w:pPr>
            <w:r w:rsidRPr="00D4185C">
              <w:rPr>
                <w:rFonts w:ascii="Garamond" w:hAnsi="Garamond"/>
                <w:sz w:val="16"/>
              </w:rPr>
              <w:t>University</w:t>
            </w:r>
            <w:r w:rsidRPr="00D4185C">
              <w:rPr>
                <w:rFonts w:ascii="Garamond" w:hAnsi="Garamond"/>
                <w:spacing w:val="10"/>
                <w:sz w:val="16"/>
              </w:rPr>
              <w:t xml:space="preserve"> </w:t>
            </w:r>
            <w:r w:rsidRPr="00D4185C">
              <w:rPr>
                <w:rFonts w:ascii="Garamond" w:hAnsi="Garamond"/>
                <w:sz w:val="16"/>
              </w:rPr>
              <w:t>of</w:t>
            </w:r>
            <w:r w:rsidRPr="00D4185C">
              <w:rPr>
                <w:rFonts w:ascii="Garamond" w:hAnsi="Garamond"/>
                <w:spacing w:val="11"/>
                <w:sz w:val="16"/>
              </w:rPr>
              <w:t xml:space="preserve"> </w:t>
            </w:r>
            <w:r w:rsidRPr="00D4185C">
              <w:rPr>
                <w:rFonts w:ascii="Garamond" w:hAnsi="Garamond"/>
                <w:sz w:val="16"/>
              </w:rPr>
              <w:t>Pahlawan</w:t>
            </w:r>
            <w:r w:rsidRPr="00D4185C">
              <w:rPr>
                <w:rFonts w:ascii="Garamond" w:hAnsi="Garamond"/>
                <w:spacing w:val="11"/>
                <w:sz w:val="16"/>
              </w:rPr>
              <w:t xml:space="preserve"> </w:t>
            </w:r>
            <w:r w:rsidRPr="00D4185C">
              <w:rPr>
                <w:rFonts w:ascii="Garamond" w:hAnsi="Garamond"/>
                <w:sz w:val="16"/>
              </w:rPr>
              <w:t>Tuanku</w:t>
            </w:r>
            <w:r w:rsidRPr="00D4185C">
              <w:rPr>
                <w:rFonts w:ascii="Garamond" w:hAnsi="Garamond"/>
                <w:spacing w:val="10"/>
                <w:sz w:val="16"/>
              </w:rPr>
              <w:t xml:space="preserve"> </w:t>
            </w:r>
            <w:r w:rsidRPr="00D4185C">
              <w:rPr>
                <w:rFonts w:ascii="Garamond" w:hAnsi="Garamond"/>
                <w:spacing w:val="-2"/>
                <w:sz w:val="16"/>
              </w:rPr>
              <w:t>Tambusai</w:t>
            </w:r>
          </w:p>
        </w:tc>
      </w:tr>
      <w:tr w:rsidR="00EC4C39" w:rsidRPr="00D4185C" w14:paraId="3948C7E9" w14:textId="77777777" w:rsidTr="001803F6">
        <w:trPr>
          <w:trHeight w:val="562"/>
          <w:jc w:val="center"/>
        </w:trPr>
        <w:tc>
          <w:tcPr>
            <w:tcW w:w="5681" w:type="dxa"/>
            <w:vMerge/>
            <w:tcBorders>
              <w:top w:val="nil"/>
              <w:bottom w:val="single" w:sz="4" w:space="0" w:color="000000"/>
            </w:tcBorders>
          </w:tcPr>
          <w:p w14:paraId="437C777C" w14:textId="77777777" w:rsidR="00EC4C39" w:rsidRPr="00D4185C" w:rsidRDefault="00EC4C39" w:rsidP="00EC4C39">
            <w:pPr>
              <w:ind w:left="-2" w:firstLine="0"/>
              <w:rPr>
                <w:rFonts w:ascii="Garamond" w:hAnsi="Garamond"/>
                <w:sz w:val="2"/>
                <w:szCs w:val="2"/>
              </w:rPr>
            </w:pPr>
          </w:p>
        </w:tc>
        <w:tc>
          <w:tcPr>
            <w:tcW w:w="3681" w:type="dxa"/>
            <w:tcBorders>
              <w:bottom w:val="single" w:sz="4" w:space="0" w:color="000000"/>
            </w:tcBorders>
          </w:tcPr>
          <w:p w14:paraId="1900B6C7" w14:textId="77777777" w:rsidR="00EC4C39" w:rsidRPr="00D4185C" w:rsidRDefault="00EC4C39" w:rsidP="00EC4C39">
            <w:pPr>
              <w:pStyle w:val="TableParagraph"/>
              <w:spacing w:line="240" w:lineRule="auto"/>
              <w:ind w:hanging="2"/>
              <w:rPr>
                <w:rFonts w:ascii="Garamond" w:hAnsi="Garamond"/>
                <w:sz w:val="16"/>
              </w:rPr>
            </w:pPr>
            <w:r w:rsidRPr="00D4185C">
              <w:rPr>
                <w:rFonts w:ascii="Garamond" w:hAnsi="Garamond"/>
                <w:spacing w:val="-2"/>
                <w:sz w:val="16"/>
              </w:rPr>
              <w:t>ISSN</w:t>
            </w:r>
            <w:r w:rsidRPr="00D4185C">
              <w:rPr>
                <w:rFonts w:ascii="Garamond" w:hAnsi="Garamond"/>
                <w:spacing w:val="16"/>
                <w:sz w:val="16"/>
              </w:rPr>
              <w:t xml:space="preserve"> </w:t>
            </w:r>
            <w:r w:rsidRPr="00D4185C">
              <w:rPr>
                <w:rFonts w:ascii="Garamond" w:hAnsi="Garamond"/>
                <w:spacing w:val="-2"/>
                <w:sz w:val="16"/>
              </w:rPr>
              <w:t>2775-771X</w:t>
            </w:r>
            <w:r w:rsidRPr="00D4185C">
              <w:rPr>
                <w:rFonts w:ascii="Garamond" w:hAnsi="Garamond"/>
                <w:spacing w:val="16"/>
                <w:sz w:val="16"/>
              </w:rPr>
              <w:t xml:space="preserve"> </w:t>
            </w:r>
            <w:r w:rsidRPr="00D4185C">
              <w:rPr>
                <w:rFonts w:ascii="Garamond" w:hAnsi="Garamond"/>
                <w:spacing w:val="-2"/>
                <w:sz w:val="16"/>
              </w:rPr>
              <w:t>(Online)</w:t>
            </w:r>
          </w:p>
          <w:p w14:paraId="4B70A4E4" w14:textId="77777777" w:rsidR="00EC4C39" w:rsidRPr="00D4185C" w:rsidRDefault="00EC4C39" w:rsidP="00EC4C39">
            <w:pPr>
              <w:pStyle w:val="TableParagraph"/>
              <w:spacing w:line="240" w:lineRule="auto"/>
              <w:ind w:hanging="2"/>
              <w:rPr>
                <w:rFonts w:ascii="Garamond" w:hAnsi="Garamond"/>
                <w:b/>
                <w:sz w:val="16"/>
              </w:rPr>
            </w:pPr>
            <w:r w:rsidRPr="00D4185C">
              <w:rPr>
                <w:rFonts w:ascii="Garamond" w:hAnsi="Garamond"/>
                <w:b/>
                <w:sz w:val="16"/>
              </w:rPr>
              <w:t>ISSN</w:t>
            </w:r>
            <w:r w:rsidRPr="00D4185C">
              <w:rPr>
                <w:rFonts w:ascii="Garamond" w:hAnsi="Garamond"/>
                <w:b/>
                <w:spacing w:val="12"/>
                <w:sz w:val="16"/>
              </w:rPr>
              <w:t xml:space="preserve"> </w:t>
            </w:r>
            <w:hyperlink r:id="rId11">
              <w:r w:rsidRPr="00D4185C">
                <w:rPr>
                  <w:rFonts w:ascii="Garamond" w:hAnsi="Garamond"/>
                  <w:sz w:val="16"/>
                  <w:u w:val="single"/>
                </w:rPr>
                <w:t>2962-570X</w:t>
              </w:r>
            </w:hyperlink>
            <w:r w:rsidRPr="00D4185C">
              <w:rPr>
                <w:rFonts w:ascii="Garamond" w:hAnsi="Garamond"/>
                <w:spacing w:val="18"/>
                <w:sz w:val="16"/>
              </w:rPr>
              <w:t xml:space="preserve"> </w:t>
            </w:r>
            <w:r w:rsidRPr="00D4185C">
              <w:rPr>
                <w:rFonts w:ascii="Garamond" w:hAnsi="Garamond"/>
                <w:b/>
                <w:spacing w:val="-2"/>
                <w:sz w:val="16"/>
              </w:rPr>
              <w:t>(Printed)</w:t>
            </w:r>
          </w:p>
          <w:p w14:paraId="3B72AC4D" w14:textId="26CC3DFF" w:rsidR="00EC4C39" w:rsidRPr="00D4185C" w:rsidRDefault="00EC4C39" w:rsidP="00EC4C39">
            <w:pPr>
              <w:pStyle w:val="TableParagraph"/>
              <w:spacing w:line="240" w:lineRule="auto"/>
              <w:ind w:hanging="2"/>
              <w:rPr>
                <w:rFonts w:ascii="Garamond" w:hAnsi="Garamond"/>
                <w:sz w:val="16"/>
              </w:rPr>
            </w:pPr>
            <w:r w:rsidRPr="00D4185C">
              <w:rPr>
                <w:rFonts w:ascii="Garamond" w:hAnsi="Garamond"/>
                <w:spacing w:val="-4"/>
                <w:sz w:val="16"/>
              </w:rPr>
              <w:t>6</w:t>
            </w:r>
            <w:r w:rsidRPr="00D4185C">
              <w:rPr>
                <w:rFonts w:ascii="Garamond" w:hAnsi="Garamond"/>
                <w:spacing w:val="-6"/>
                <w:sz w:val="16"/>
              </w:rPr>
              <w:t xml:space="preserve"> </w:t>
            </w:r>
            <w:r w:rsidRPr="00D4185C">
              <w:rPr>
                <w:rFonts w:ascii="Garamond" w:hAnsi="Garamond"/>
                <w:spacing w:val="-4"/>
                <w:sz w:val="16"/>
              </w:rPr>
              <w:t>(1)</w:t>
            </w:r>
            <w:r w:rsidRPr="00D4185C">
              <w:rPr>
                <w:rFonts w:ascii="Garamond" w:hAnsi="Garamond"/>
                <w:spacing w:val="20"/>
                <w:sz w:val="16"/>
              </w:rPr>
              <w:t xml:space="preserve"> </w:t>
            </w:r>
            <w:r w:rsidRPr="00D4185C">
              <w:rPr>
                <w:rFonts w:ascii="Garamond" w:hAnsi="Garamond"/>
                <w:spacing w:val="-4"/>
                <w:sz w:val="16"/>
              </w:rPr>
              <w:t>2026,</w:t>
            </w:r>
            <w:r w:rsidRPr="00D4185C">
              <w:rPr>
                <w:rFonts w:ascii="Garamond" w:hAnsi="Garamond"/>
                <w:spacing w:val="-6"/>
                <w:sz w:val="16"/>
              </w:rPr>
              <w:t xml:space="preserve"> Page </w:t>
            </w:r>
            <w:r>
              <w:rPr>
                <w:rFonts w:ascii="Garamond" w:hAnsi="Garamond"/>
                <w:spacing w:val="-4"/>
                <w:sz w:val="16"/>
              </w:rPr>
              <w:t>9</w:t>
            </w:r>
            <w:r w:rsidR="009A21E8">
              <w:rPr>
                <w:rFonts w:ascii="Garamond" w:hAnsi="Garamond"/>
                <w:spacing w:val="-4"/>
                <w:sz w:val="16"/>
              </w:rPr>
              <w:t>32</w:t>
            </w:r>
            <w:r>
              <w:rPr>
                <w:rFonts w:ascii="Garamond" w:hAnsi="Garamond"/>
                <w:spacing w:val="-4"/>
                <w:sz w:val="16"/>
              </w:rPr>
              <w:t>1</w:t>
            </w:r>
            <w:r w:rsidRPr="003008F9">
              <w:rPr>
                <w:rFonts w:ascii="Garamond" w:hAnsi="Garamond"/>
                <w:spacing w:val="-4"/>
                <w:sz w:val="16"/>
              </w:rPr>
              <w:t>-</w:t>
            </w:r>
            <w:r>
              <w:rPr>
                <w:rFonts w:ascii="Garamond" w:hAnsi="Garamond"/>
                <w:spacing w:val="-4"/>
                <w:sz w:val="16"/>
              </w:rPr>
              <w:t>9</w:t>
            </w:r>
            <w:r w:rsidR="009A21E8">
              <w:rPr>
                <w:rFonts w:ascii="Garamond" w:hAnsi="Garamond"/>
                <w:spacing w:val="-4"/>
                <w:sz w:val="16"/>
              </w:rPr>
              <w:t>325</w:t>
            </w:r>
          </w:p>
        </w:tc>
      </w:tr>
    </w:tbl>
    <w:p w14:paraId="2DD2830A" w14:textId="77777777" w:rsidR="00EC4C39" w:rsidRDefault="00EC4C39" w:rsidP="00EC4C39">
      <w:pPr>
        <w:ind w:left="-142" w:right="-188" w:firstLine="0"/>
        <w:jc w:val="center"/>
        <w:rPr>
          <w:rFonts w:ascii="Garamond" w:eastAsia="Garamond" w:hAnsi="Garamond" w:cstheme="minorBidi"/>
          <w:b/>
          <w:bCs/>
          <w:sz w:val="28"/>
          <w:szCs w:val="28"/>
          <w:lang w:val="en-ID"/>
        </w:rPr>
      </w:pPr>
    </w:p>
    <w:p w14:paraId="222ABE91" w14:textId="7FF9F03E" w:rsidR="00991F1B" w:rsidRPr="00EC4C39" w:rsidRDefault="00991F1B" w:rsidP="00EC4C39">
      <w:pPr>
        <w:ind w:left="-142" w:right="-188" w:firstLine="0"/>
        <w:jc w:val="center"/>
        <w:rPr>
          <w:rFonts w:ascii="Garamond" w:eastAsia="Garamond" w:hAnsi="Garamond" w:cstheme="minorBidi"/>
          <w:b/>
          <w:bCs/>
          <w:sz w:val="28"/>
          <w:szCs w:val="28"/>
          <w:lang w:val="en-ID"/>
        </w:rPr>
      </w:pPr>
      <w:r w:rsidRPr="00EC4C39">
        <w:rPr>
          <w:rFonts w:ascii="Garamond" w:eastAsia="Garamond" w:hAnsi="Garamond" w:cstheme="minorBidi"/>
          <w:b/>
          <w:bCs/>
          <w:sz w:val="28"/>
          <w:szCs w:val="28"/>
          <w:lang w:val="en-ID"/>
        </w:rPr>
        <w:t>THE EFFECT OF STRUCTURED PHYSICAL EXERCISE ON OVERALL SURVIVAL IN ADVANCED GASTROINTESTINAL CANCER PATIENTS WITH CACHEXIA: A CRITICAL REVIEW AND METHODOLOGICAL</w:t>
      </w:r>
      <w:r w:rsidR="00EC4C39">
        <w:rPr>
          <w:rFonts w:ascii="Garamond" w:eastAsia="Garamond" w:hAnsi="Garamond" w:cstheme="minorBidi"/>
          <w:b/>
          <w:bCs/>
          <w:sz w:val="28"/>
          <w:szCs w:val="28"/>
          <w:lang w:val="en-ID"/>
        </w:rPr>
        <w:t xml:space="preserve"> </w:t>
      </w:r>
      <w:r w:rsidRPr="00EC4C39">
        <w:rPr>
          <w:rFonts w:ascii="Garamond" w:eastAsia="Garamond" w:hAnsi="Garamond" w:cstheme="minorBidi"/>
          <w:b/>
          <w:bCs/>
          <w:sz w:val="28"/>
          <w:szCs w:val="28"/>
          <w:lang w:val="en-ID"/>
        </w:rPr>
        <w:t>ANALYSIS</w:t>
      </w:r>
      <w:r w:rsidR="00EC4C39">
        <w:rPr>
          <w:rFonts w:ascii="Garamond" w:eastAsia="Garamond" w:hAnsi="Garamond" w:cstheme="minorBidi"/>
          <w:b/>
          <w:bCs/>
          <w:sz w:val="28"/>
          <w:szCs w:val="28"/>
          <w:lang w:val="en-ID"/>
        </w:rPr>
        <w:t xml:space="preserve"> </w:t>
      </w:r>
      <w:r w:rsidR="00FA3CF6" w:rsidRPr="00EC4C39">
        <w:rPr>
          <w:rFonts w:ascii="Garamond" w:eastAsia="Garamond" w:hAnsi="Garamond" w:cstheme="minorBidi"/>
          <w:b/>
          <w:bCs/>
          <w:sz w:val="28"/>
          <w:szCs w:val="28"/>
          <w:lang w:val="en-ID"/>
        </w:rPr>
        <w:t>ONGOING RCT PROTOCOLS</w:t>
      </w:r>
    </w:p>
    <w:p w14:paraId="5CDD9232" w14:textId="77777777" w:rsidR="00A924F2" w:rsidRPr="005E3BCD" w:rsidRDefault="00A924F2" w:rsidP="00EC4C39">
      <w:pPr>
        <w:ind w:firstLine="0"/>
        <w:jc w:val="center"/>
        <w:rPr>
          <w:rFonts w:ascii="Garamond" w:eastAsia="Garamond" w:hAnsi="Garamond" w:cstheme="minorBidi"/>
          <w:sz w:val="24"/>
          <w:szCs w:val="24"/>
          <w:lang w:val="en-ID"/>
        </w:rPr>
      </w:pPr>
    </w:p>
    <w:p w14:paraId="3B3E79FB" w14:textId="71FDC2E9" w:rsidR="00991F1B" w:rsidRPr="00EC4C39" w:rsidRDefault="00991F1B" w:rsidP="00EC4C39">
      <w:pPr>
        <w:ind w:hanging="2"/>
        <w:jc w:val="center"/>
        <w:rPr>
          <w:rFonts w:ascii="Garamond" w:eastAsia="Garamond" w:hAnsi="Garamond" w:cstheme="minorBidi"/>
          <w:b/>
          <w:bCs/>
          <w:sz w:val="22"/>
          <w:szCs w:val="22"/>
          <w:lang w:val="it-IT"/>
        </w:rPr>
      </w:pPr>
      <w:r w:rsidRPr="00EC4C39">
        <w:rPr>
          <w:rFonts w:ascii="Garamond" w:eastAsia="Garamond" w:hAnsi="Garamond" w:cstheme="minorBidi"/>
          <w:b/>
          <w:bCs/>
          <w:sz w:val="22"/>
          <w:szCs w:val="22"/>
          <w:lang w:val="it-IT"/>
        </w:rPr>
        <w:t>Eunike Gracia Sigalingging</w:t>
      </w:r>
      <w:r w:rsidR="00EC4C39" w:rsidRPr="00EC4C39">
        <w:rPr>
          <w:rFonts w:ascii="Garamond" w:eastAsia="Garamond" w:hAnsi="Garamond" w:cstheme="minorBidi"/>
          <w:b/>
          <w:bCs/>
          <w:sz w:val="22"/>
          <w:szCs w:val="22"/>
          <w:vertAlign w:val="superscript"/>
          <w:lang w:val="it-IT"/>
        </w:rPr>
        <w:t>1</w:t>
      </w:r>
      <w:r w:rsidRPr="00EC4C39">
        <w:rPr>
          <w:rFonts w:ascii="Garamond" w:eastAsia="Garamond" w:hAnsi="Garamond" w:cstheme="minorBidi"/>
          <w:b/>
          <w:bCs/>
          <w:sz w:val="22"/>
          <w:szCs w:val="22"/>
          <w:lang w:val="it-IT"/>
        </w:rPr>
        <w:t>, Ida Bagus Aditya Nugraha</w:t>
      </w:r>
      <w:r w:rsidR="00EC4C39" w:rsidRPr="00EC4C39">
        <w:rPr>
          <w:rFonts w:ascii="Garamond" w:eastAsia="Garamond" w:hAnsi="Garamond" w:cstheme="minorBidi"/>
          <w:b/>
          <w:bCs/>
          <w:sz w:val="22"/>
          <w:szCs w:val="22"/>
          <w:vertAlign w:val="superscript"/>
          <w:lang w:val="it-IT"/>
        </w:rPr>
        <w:t>2</w:t>
      </w:r>
    </w:p>
    <w:p w14:paraId="66DA68A6" w14:textId="77777777" w:rsidR="00991F1B" w:rsidRPr="00EC4C39" w:rsidRDefault="00991F1B" w:rsidP="00EC4C39">
      <w:pPr>
        <w:ind w:right="113"/>
        <w:jc w:val="center"/>
        <w:rPr>
          <w:rFonts w:ascii="Garamond" w:eastAsiaTheme="minorHAnsi" w:hAnsi="Garamond" w:cstheme="minorBidi"/>
          <w:bCs/>
          <w:iCs/>
          <w:sz w:val="22"/>
          <w:szCs w:val="22"/>
          <w:lang w:val="en"/>
        </w:rPr>
      </w:pPr>
      <w:r w:rsidRPr="00EC4C39">
        <w:rPr>
          <w:rFonts w:ascii="Garamond" w:eastAsiaTheme="minorHAnsi" w:hAnsi="Garamond" w:cstheme="minorBidi"/>
          <w:bCs/>
          <w:iCs/>
          <w:sz w:val="22"/>
          <w:szCs w:val="22"/>
          <w:lang w:val="en"/>
        </w:rPr>
        <w:t>Undergraduate Medical Study Program, Faculty of Military Medicine, Indonesia Defense University, Indonesia Peace and Security Center (IPSC), Sentul, Bogor, West Java, Indonesia</w:t>
      </w:r>
    </w:p>
    <w:p w14:paraId="63ED99AB" w14:textId="2F2B5869" w:rsidR="00991F1B" w:rsidRPr="005E3BCD" w:rsidRDefault="006725FD" w:rsidP="00EC4C39">
      <w:pPr>
        <w:jc w:val="center"/>
        <w:rPr>
          <w:rFonts w:ascii="Garamond" w:hAnsi="Garamond" w:cs="Times New Roman"/>
          <w:b/>
          <w:sz w:val="16"/>
          <w:szCs w:val="16"/>
          <w:lang w:val="en"/>
        </w:rPr>
      </w:pPr>
      <w:r w:rsidRPr="00FA3CF6">
        <w:rPr>
          <w:rFonts w:ascii="Garamond" w:eastAsia="Garamond" w:hAnsi="Garamond" w:cstheme="minorBidi"/>
          <w:sz w:val="16"/>
          <w:szCs w:val="16"/>
          <w:lang w:val="en-ID"/>
        </w:rPr>
        <w:t>Corresponding Author:</w:t>
      </w:r>
      <w:r w:rsidR="0043117B" w:rsidRPr="00FA3CF6">
        <w:rPr>
          <w:rFonts w:ascii="Garamond" w:eastAsiaTheme="minorHAnsi" w:hAnsi="Garamond" w:cstheme="minorBidi"/>
          <w:b/>
          <w:bCs/>
          <w:sz w:val="24"/>
          <w:szCs w:val="24"/>
          <w:lang w:val="en-ID"/>
        </w:rPr>
        <w:t xml:space="preserve"> </w:t>
      </w:r>
      <w:r w:rsidR="00991F1B" w:rsidRPr="005E3BCD">
        <w:rPr>
          <w:rFonts w:ascii="Garamond" w:eastAsia="Garamond" w:hAnsi="Garamond" w:cstheme="minorBidi"/>
          <w:b/>
          <w:bCs/>
          <w:sz w:val="16"/>
          <w:szCs w:val="16"/>
          <w:lang w:val="it-IT"/>
        </w:rPr>
        <w:t>Eunike Gracia Sigalingging</w:t>
      </w:r>
      <w:r w:rsidR="00FB3E8B" w:rsidRPr="00FA3CF6">
        <w:rPr>
          <w:rFonts w:ascii="Garamond" w:eastAsia="Garamond" w:hAnsi="Garamond" w:cstheme="minorBidi"/>
          <w:sz w:val="16"/>
          <w:szCs w:val="16"/>
          <w:lang w:val="en-ID"/>
        </w:rPr>
        <w:t>, email:</w:t>
      </w:r>
      <w:r w:rsidR="00C4445A" w:rsidRPr="00FA3CF6">
        <w:rPr>
          <w:rFonts w:ascii="Garamond" w:hAnsi="Garamond"/>
          <w:lang w:val="en-ID"/>
        </w:rPr>
        <w:t xml:space="preserve"> </w:t>
      </w:r>
      <w:hyperlink r:id="rId12" w:history="1">
        <w:r w:rsidR="00991F1B" w:rsidRPr="005E3BCD">
          <w:rPr>
            <w:rStyle w:val="Hyperlink"/>
            <w:rFonts w:ascii="Garamond" w:hAnsi="Garamond" w:cs="Times New Roman"/>
            <w:bCs/>
            <w:position w:val="0"/>
            <w:sz w:val="16"/>
            <w:szCs w:val="16"/>
            <w:lang w:val="en"/>
          </w:rPr>
          <w:t>eunikegrac10@gmail.com</w:t>
        </w:r>
      </w:hyperlink>
    </w:p>
    <w:p w14:paraId="2D2D2E82" w14:textId="77777777" w:rsidR="00991F1B" w:rsidRPr="005E3BCD" w:rsidRDefault="00991F1B" w:rsidP="00EC4C39">
      <w:pPr>
        <w:ind w:right="113"/>
        <w:jc w:val="center"/>
        <w:rPr>
          <w:rFonts w:ascii="Garamond" w:hAnsi="Garamond"/>
          <w:sz w:val="16"/>
          <w:szCs w:val="16"/>
        </w:rPr>
      </w:pPr>
    </w:p>
    <w:p w14:paraId="395DEE98" w14:textId="7D686BE1" w:rsidR="00A924F2" w:rsidRPr="00FA3CF6" w:rsidRDefault="006725FD" w:rsidP="00EC4C39">
      <w:pPr>
        <w:pBdr>
          <w:bottom w:val="single" w:sz="6" w:space="1" w:color="000000"/>
        </w:pBdr>
        <w:ind w:hanging="2"/>
        <w:jc w:val="right"/>
        <w:rPr>
          <w:rFonts w:ascii="Garamond" w:eastAsia="Garamond" w:hAnsi="Garamond" w:cstheme="minorBidi"/>
          <w:sz w:val="16"/>
          <w:szCs w:val="16"/>
          <w:lang w:val="en-ID"/>
        </w:rPr>
      </w:pPr>
      <w:r w:rsidRPr="00FA3CF6">
        <w:rPr>
          <w:rFonts w:ascii="Garamond" w:eastAsia="Garamond" w:hAnsi="Garamond" w:cstheme="minorBidi"/>
          <w:sz w:val="16"/>
          <w:szCs w:val="16"/>
          <w:lang w:val="en-ID"/>
        </w:rPr>
        <w:t xml:space="preserve">Published: </w:t>
      </w:r>
      <w:proofErr w:type="spellStart"/>
      <w:r w:rsidR="00EC4C39">
        <w:rPr>
          <w:rFonts w:ascii="Garamond" w:eastAsia="Garamond" w:hAnsi="Garamond" w:cstheme="minorBidi"/>
          <w:sz w:val="16"/>
          <w:szCs w:val="16"/>
          <w:lang w:val="en-ID"/>
        </w:rPr>
        <w:t>Februari</w:t>
      </w:r>
      <w:proofErr w:type="spellEnd"/>
      <w:r w:rsidRPr="00FA3CF6">
        <w:rPr>
          <w:rFonts w:ascii="Garamond" w:eastAsia="Garamond" w:hAnsi="Garamond" w:cstheme="minorBidi"/>
          <w:sz w:val="16"/>
          <w:szCs w:val="16"/>
          <w:lang w:val="en-ID"/>
        </w:rPr>
        <w:t>, 202</w:t>
      </w:r>
      <w:r w:rsidR="00EC4C39">
        <w:rPr>
          <w:rFonts w:ascii="Garamond" w:eastAsia="Garamond" w:hAnsi="Garamond" w:cstheme="minorBidi"/>
          <w:sz w:val="16"/>
          <w:szCs w:val="16"/>
          <w:lang w:val="en-ID"/>
        </w:rPr>
        <w:t>6</w:t>
      </w:r>
    </w:p>
    <w:p w14:paraId="63970DFD" w14:textId="77777777" w:rsidR="00FB3E8B" w:rsidRPr="00EC4C39" w:rsidRDefault="006725FD" w:rsidP="00EC4C39">
      <w:pPr>
        <w:ind w:hanging="2"/>
        <w:rPr>
          <w:rFonts w:ascii="Garamond" w:eastAsia="Times New Roman" w:hAnsi="Garamond" w:cstheme="minorBidi"/>
          <w:lang w:val="en-ID"/>
        </w:rPr>
      </w:pPr>
      <w:r w:rsidRPr="00EC4C39">
        <w:rPr>
          <w:rFonts w:ascii="Garamond" w:eastAsia="Garamond" w:hAnsi="Garamond" w:cstheme="minorBidi"/>
          <w:b/>
          <w:lang w:val="en-ID"/>
        </w:rPr>
        <w:t>ABSTRACT</w:t>
      </w:r>
    </w:p>
    <w:p w14:paraId="35009BC5" w14:textId="77777777" w:rsidR="00C4445A" w:rsidRPr="00EC4C39" w:rsidRDefault="00A64B54" w:rsidP="00EC4C39">
      <w:pPr>
        <w:ind w:firstLine="0"/>
        <w:jc w:val="both"/>
        <w:rPr>
          <w:rFonts w:ascii="Garamond" w:eastAsia="Times New Roman" w:hAnsi="Garamond" w:cstheme="minorBidi"/>
        </w:rPr>
      </w:pPr>
      <w:r w:rsidRPr="00EC4C39">
        <w:rPr>
          <w:rFonts w:ascii="Garamond" w:eastAsia="Times New Roman" w:hAnsi="Garamond" w:cstheme="minorBidi"/>
          <w:lang w:val="en-ID"/>
        </w:rPr>
        <w:t xml:space="preserve">Cachexia in patients with advanced gastrointestinal (GI) cancer significantly impairs overall survival (OS) and quality of life, but definitive evidence from randomized controlled trials (RCTs) on structured physical exercise (SPE) is scarce. This evidence-based clinical review (EBCR) aimed to assess the methodological quality and clinical relevance of ongoing RCT protocols (RELEVIUM, </w:t>
      </w:r>
      <w:proofErr w:type="spellStart"/>
      <w:r w:rsidRPr="00EC4C39">
        <w:rPr>
          <w:rFonts w:ascii="Garamond" w:eastAsia="Times New Roman" w:hAnsi="Garamond" w:cstheme="minorBidi"/>
          <w:lang w:val="en-ID"/>
        </w:rPr>
        <w:t>BiCyCLE</w:t>
      </w:r>
      <w:proofErr w:type="spellEnd"/>
      <w:r w:rsidRPr="00EC4C39">
        <w:rPr>
          <w:rFonts w:ascii="Garamond" w:eastAsia="Times New Roman" w:hAnsi="Garamond" w:cstheme="minorBidi"/>
          <w:lang w:val="en-ID"/>
        </w:rPr>
        <w:t xml:space="preserve"> NMES, REBUILD) using the Cochrane </w:t>
      </w:r>
      <w:proofErr w:type="spellStart"/>
      <w:r w:rsidRPr="00EC4C39">
        <w:rPr>
          <w:rFonts w:ascii="Garamond" w:eastAsia="Times New Roman" w:hAnsi="Garamond" w:cstheme="minorBidi"/>
          <w:lang w:val="en-ID"/>
        </w:rPr>
        <w:t>RoB</w:t>
      </w:r>
      <w:proofErr w:type="spellEnd"/>
      <w:r w:rsidRPr="00EC4C39">
        <w:rPr>
          <w:rFonts w:ascii="Garamond" w:eastAsia="Times New Roman" w:hAnsi="Garamond" w:cstheme="minorBidi"/>
          <w:lang w:val="en-ID"/>
        </w:rPr>
        <w:t xml:space="preserve"> 2.0 and the Oxford CEBM criteria. This systematic literature review with critical narrative synthesis employed a mixed-methods approach, targeting adult patients with advanced GI cancer with cachexia/sarcopenia (PICO framework). The sample consisted of three protocols (N=200, 120, 94) from 221 screened articles (PubMed, Cochrane, Google Scholar; November 2025). Instruments included the PICO search strategy, </w:t>
      </w:r>
      <w:proofErr w:type="spellStart"/>
      <w:r w:rsidRPr="00EC4C39">
        <w:rPr>
          <w:rFonts w:ascii="Garamond" w:eastAsia="Times New Roman" w:hAnsi="Garamond" w:cstheme="minorBidi"/>
          <w:lang w:val="en-ID"/>
        </w:rPr>
        <w:t>RoB</w:t>
      </w:r>
      <w:proofErr w:type="spellEnd"/>
      <w:r w:rsidRPr="00EC4C39">
        <w:rPr>
          <w:rFonts w:ascii="Garamond" w:eastAsia="Times New Roman" w:hAnsi="Garamond" w:cstheme="minorBidi"/>
          <w:lang w:val="en-ID"/>
        </w:rPr>
        <w:t xml:space="preserve"> 2.0 (five domains), and a qualitative synthesis tool. Data were </w:t>
      </w:r>
      <w:proofErr w:type="spellStart"/>
      <w:r w:rsidRPr="00EC4C39">
        <w:rPr>
          <w:rFonts w:ascii="Garamond" w:eastAsia="Times New Roman" w:hAnsi="Garamond" w:cstheme="minorBidi"/>
          <w:lang w:val="en-ID"/>
        </w:rPr>
        <w:t>analyzed</w:t>
      </w:r>
      <w:proofErr w:type="spellEnd"/>
      <w:r w:rsidRPr="00EC4C39">
        <w:rPr>
          <w:rFonts w:ascii="Garamond" w:eastAsia="Times New Roman" w:hAnsi="Garamond" w:cstheme="minorBidi"/>
          <w:lang w:val="en-ID"/>
        </w:rPr>
        <w:t xml:space="preserve"> using narrative comparison and risk of bias assessment without meta-analysis. Results showed a high risk of blinding bias in two protocols, OS was only listed as a secondary outcome in </w:t>
      </w:r>
      <w:proofErr w:type="spellStart"/>
      <w:r w:rsidRPr="00EC4C39">
        <w:rPr>
          <w:rFonts w:ascii="Garamond" w:eastAsia="Times New Roman" w:hAnsi="Garamond" w:cstheme="minorBidi"/>
          <w:lang w:val="en-ID"/>
        </w:rPr>
        <w:t>BiCyCLE</w:t>
      </w:r>
      <w:proofErr w:type="spellEnd"/>
      <w:r w:rsidRPr="00EC4C39">
        <w:rPr>
          <w:rFonts w:ascii="Garamond" w:eastAsia="Times New Roman" w:hAnsi="Garamond" w:cstheme="minorBidi"/>
          <w:lang w:val="en-ID"/>
        </w:rPr>
        <w:t xml:space="preserve"> NMES, and heterogeneity in LBM measurements (CT scan vs. BIA). In conclusion, promising designs at Level 1b evidence exist, but methodological gaps limit OS comparability; OS/CT scan standardization is recommended.</w:t>
      </w:r>
    </w:p>
    <w:p w14:paraId="7364ADE1" w14:textId="77777777" w:rsidR="00A64B54" w:rsidRPr="00EC4C39" w:rsidRDefault="00A64B54" w:rsidP="00EC4C39">
      <w:pPr>
        <w:ind w:firstLine="0"/>
        <w:rPr>
          <w:rFonts w:ascii="Garamond" w:eastAsia="Times New Roman" w:hAnsi="Garamond" w:cstheme="minorBidi"/>
          <w:lang w:val="en-ID"/>
        </w:rPr>
      </w:pPr>
    </w:p>
    <w:p w14:paraId="786F7E5B" w14:textId="77777777" w:rsidR="00C4445A" w:rsidRPr="00EC4C39" w:rsidRDefault="00FB3E8B" w:rsidP="00EC4C39">
      <w:pPr>
        <w:ind w:hanging="2"/>
        <w:jc w:val="both"/>
        <w:rPr>
          <w:rFonts w:ascii="Garamond" w:hAnsi="Garamond" w:cstheme="minorBidi"/>
          <w:bCs/>
          <w:i/>
          <w:iCs/>
          <w:lang w:val="en-ID"/>
        </w:rPr>
      </w:pPr>
      <w:r w:rsidRPr="00EC4C39">
        <w:rPr>
          <w:rFonts w:ascii="Garamond" w:hAnsi="Garamond" w:cstheme="minorBidi"/>
          <w:b/>
          <w:bCs/>
          <w:lang w:val="en-ID"/>
        </w:rPr>
        <w:t>Keywords: Cachexia, Cancer, Exercise, Gastrointestinal, Survival</w:t>
      </w:r>
    </w:p>
    <w:p w14:paraId="480A9228" w14:textId="77777777" w:rsidR="00A924F2" w:rsidRPr="00FA3CF6" w:rsidRDefault="00A924F2" w:rsidP="00EC4C39">
      <w:pPr>
        <w:pBdr>
          <w:bottom w:val="single" w:sz="6" w:space="1" w:color="000000"/>
        </w:pBdr>
        <w:ind w:firstLine="0"/>
        <w:jc w:val="both"/>
        <w:rPr>
          <w:rFonts w:ascii="Garamond" w:eastAsia="Garamond" w:hAnsi="Garamond" w:cstheme="minorBidi"/>
          <w:sz w:val="16"/>
          <w:szCs w:val="16"/>
          <w:lang w:val="en-ID"/>
        </w:rPr>
      </w:pPr>
    </w:p>
    <w:p w14:paraId="5895EFC8" w14:textId="77777777" w:rsidR="00A924F2" w:rsidRPr="00FA3CF6" w:rsidRDefault="00A924F2" w:rsidP="00EC4C39">
      <w:pPr>
        <w:ind w:firstLine="0"/>
        <w:rPr>
          <w:rFonts w:ascii="Garamond" w:eastAsia="Garamond" w:hAnsi="Garamond" w:cstheme="minorBidi"/>
          <w:sz w:val="4"/>
          <w:szCs w:val="4"/>
          <w:lang w:val="en-ID"/>
        </w:rPr>
      </w:pPr>
    </w:p>
    <w:p w14:paraId="0B1CB10A" w14:textId="77777777" w:rsidR="00A924F2" w:rsidRPr="005E3BCD" w:rsidRDefault="006725FD" w:rsidP="00EC4C39">
      <w:pPr>
        <w:pBdr>
          <w:bottom w:val="single" w:sz="6" w:space="1" w:color="000000"/>
        </w:pBdr>
        <w:ind w:firstLine="0"/>
        <w:jc w:val="both"/>
        <w:rPr>
          <w:rFonts w:ascii="Garamond" w:eastAsia="Garamond" w:hAnsi="Garamond" w:cstheme="minorBidi"/>
          <w:sz w:val="16"/>
          <w:szCs w:val="16"/>
        </w:rPr>
      </w:pPr>
      <w:r w:rsidRPr="005E3BCD">
        <w:rPr>
          <w:rFonts w:ascii="Garamond" w:eastAsia="Garamond" w:hAnsi="Garamond" w:cstheme="minorBidi"/>
          <w:sz w:val="16"/>
          <w:szCs w:val="16"/>
        </w:rPr>
        <w:t>©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provides a link to the Creative Commons license, and indicates if changes were made. The images or other third party material in this article are included in the article's Creative Commons license, unless otherwise indicated in a credit line to the material. To view a copy of this license, visit</w:t>
      </w:r>
      <w:hyperlink r:id="rId13" w:history="1">
        <w:r w:rsidR="00991F1B" w:rsidRPr="005E3BCD">
          <w:rPr>
            <w:rStyle w:val="Hyperlink"/>
            <w:rFonts w:ascii="Garamond" w:eastAsia="Garamond" w:hAnsi="Garamond" w:cstheme="minorBidi"/>
            <w:position w:val="0"/>
            <w:sz w:val="16"/>
            <w:szCs w:val="16"/>
          </w:rPr>
          <w:t>http://creativecommons.org/licenses/by/4.0</w:t>
        </w:r>
      </w:hyperlink>
    </w:p>
    <w:p w14:paraId="009DF3C1" w14:textId="77777777" w:rsidR="00A924F2" w:rsidRPr="005E3BCD" w:rsidRDefault="00A924F2" w:rsidP="00EC4C39">
      <w:pPr>
        <w:ind w:hanging="2"/>
        <w:rPr>
          <w:rFonts w:ascii="Garamond" w:eastAsia="Garamond" w:hAnsi="Garamond" w:cstheme="minorBidi"/>
          <w:b/>
        </w:rPr>
      </w:pPr>
    </w:p>
    <w:p w14:paraId="469CEE4E" w14:textId="77777777" w:rsidR="00A924F2" w:rsidRPr="00FA3CF6" w:rsidRDefault="00FB3E8B" w:rsidP="00EC4C39">
      <w:pPr>
        <w:ind w:firstLine="0"/>
        <w:jc w:val="both"/>
        <w:rPr>
          <w:rFonts w:ascii="Garamond" w:eastAsia="Garamond" w:hAnsi="Garamond" w:cstheme="minorBidi"/>
          <w:b/>
          <w:smallCaps/>
          <w:sz w:val="24"/>
          <w:szCs w:val="24"/>
          <w:lang w:val="en-ID"/>
        </w:rPr>
      </w:pPr>
      <w:r w:rsidRPr="00FA3CF6">
        <w:rPr>
          <w:rFonts w:ascii="Garamond" w:eastAsia="Garamond" w:hAnsi="Garamond" w:cstheme="minorBidi"/>
          <w:b/>
          <w:smallCaps/>
          <w:sz w:val="24"/>
          <w:szCs w:val="24"/>
          <w:lang w:val="en-ID"/>
        </w:rPr>
        <w:t>INTRODUCTION</w:t>
      </w:r>
    </w:p>
    <w:p w14:paraId="0D6F1336" w14:textId="77777777" w:rsidR="00E90CCF" w:rsidRPr="00FA3CF6" w:rsidRDefault="00E90CCF" w:rsidP="00EC4C39">
      <w:pPr>
        <w:ind w:firstLine="720"/>
        <w:jc w:val="both"/>
        <w:rPr>
          <w:rFonts w:ascii="Garamond" w:hAnsi="Garamond" w:cs="Times New Roman"/>
          <w:bCs/>
          <w:sz w:val="24"/>
          <w:szCs w:val="24"/>
          <w:lang w:val="en-ID"/>
        </w:rPr>
      </w:pPr>
      <w:r w:rsidRPr="00FA3CF6">
        <w:rPr>
          <w:rFonts w:ascii="Garamond" w:hAnsi="Garamond" w:cs="Times New Roman"/>
          <w:bCs/>
          <w:sz w:val="24"/>
          <w:szCs w:val="24"/>
          <w:lang w:val="en-ID"/>
        </w:rPr>
        <w:t>Advanced gastrointestinal (GI) cancers, such as pancreatic, colorectal, and esophagogastric cancers, constitute a group of malignancies that account for a significant proportion of global cancer incidence and mortality. In 2020, these cancers recorded high estimated incidence and mortality worldwide (Sung et al., 2021). Patients with advanced cancer often experience a poor prognosis with limited overall survival (OS), despite advances in oncological therapies such as chemotherapy, radiotherapy, and surgery (Bray et al., 2018; Fearon &amp; Voss, 2006).</w:t>
      </w:r>
    </w:p>
    <w:p w14:paraId="7940BAA2" w14:textId="77777777" w:rsidR="00E90CCF" w:rsidRPr="00FA3CF6" w:rsidRDefault="00E90CCF" w:rsidP="00EC4C39">
      <w:pPr>
        <w:ind w:firstLine="720"/>
        <w:jc w:val="both"/>
        <w:rPr>
          <w:rFonts w:ascii="Garamond" w:hAnsi="Garamond" w:cs="Times New Roman"/>
          <w:bCs/>
          <w:sz w:val="24"/>
          <w:szCs w:val="24"/>
          <w:lang w:val="en-ID"/>
        </w:rPr>
      </w:pPr>
      <w:r w:rsidRPr="00FA3CF6">
        <w:rPr>
          <w:rFonts w:ascii="Garamond" w:hAnsi="Garamond" w:cs="Times New Roman"/>
          <w:bCs/>
          <w:sz w:val="24"/>
          <w:szCs w:val="24"/>
          <w:lang w:val="en-ID"/>
        </w:rPr>
        <w:t xml:space="preserve">Cancer-Related Cachexia (CRC) is a major complication in patients with advanced GI cancer, characterized by a progressive decrease in skeletal muscle mass (Lean Body Mass/LBM) that is not fully reversible by conventional nutritional support alone. Sarcopenia, a key component of cachexia, measured radiologically and functionally, is strongly associated with higher chemotherapy toxicity, postoperative complications, decreased quality of life (QoL), and decreased OS (Morita-Tanaka et al., 2023; </w:t>
      </w:r>
      <w:proofErr w:type="spellStart"/>
      <w:r w:rsidRPr="00FA3CF6">
        <w:rPr>
          <w:rFonts w:ascii="Garamond" w:hAnsi="Garamond" w:cs="Times New Roman"/>
          <w:bCs/>
          <w:sz w:val="24"/>
          <w:szCs w:val="24"/>
          <w:lang w:val="en-ID"/>
        </w:rPr>
        <w:t>Baracos</w:t>
      </w:r>
      <w:proofErr w:type="spellEnd"/>
      <w:r w:rsidRPr="00FA3CF6">
        <w:rPr>
          <w:rFonts w:ascii="Garamond" w:hAnsi="Garamond" w:cs="Times New Roman"/>
          <w:bCs/>
          <w:sz w:val="24"/>
          <w:szCs w:val="24"/>
          <w:lang w:val="en-ID"/>
        </w:rPr>
        <w:t xml:space="preserve"> et al., 2018).</w:t>
      </w:r>
    </w:p>
    <w:p w14:paraId="4344C5A6" w14:textId="77777777" w:rsidR="00E90CCF" w:rsidRPr="00FA3CF6" w:rsidRDefault="00E90CCF" w:rsidP="00EC4C39">
      <w:pPr>
        <w:ind w:firstLine="720"/>
        <w:jc w:val="both"/>
        <w:rPr>
          <w:rFonts w:ascii="Garamond" w:hAnsi="Garamond" w:cs="Times New Roman"/>
          <w:bCs/>
          <w:sz w:val="24"/>
          <w:szCs w:val="24"/>
          <w:lang w:val="en-ID"/>
        </w:rPr>
      </w:pPr>
      <w:r w:rsidRPr="00FA3CF6">
        <w:rPr>
          <w:rFonts w:ascii="Garamond" w:hAnsi="Garamond" w:cs="Times New Roman"/>
          <w:bCs/>
          <w:sz w:val="24"/>
          <w:szCs w:val="24"/>
          <w:lang w:val="en-ID"/>
        </w:rPr>
        <w:t>In patients like Mr. A, a 64-year-old man with advanced, inoperable pancreatic ductal adenocarcinoma (PDAC), cachexia causes a dramatic weight loss of more than 10% within six months, accompanied by significant muscle weakness, severe fatigue, and limitations in daily activities. Initial radiological assessment confirmed sarcopenia through a low Skeletal Muscle Index (SMI) on Computed Tomography (CT scan), which increases the risk of treatment complications and independently decreases OS (</w:t>
      </w:r>
      <w:proofErr w:type="spellStart"/>
      <w:r w:rsidRPr="00FA3CF6">
        <w:rPr>
          <w:rFonts w:ascii="Garamond" w:hAnsi="Garamond" w:cs="Times New Roman"/>
          <w:bCs/>
          <w:sz w:val="24"/>
          <w:szCs w:val="24"/>
          <w:lang w:val="en-ID"/>
        </w:rPr>
        <w:t>Argilés</w:t>
      </w:r>
      <w:proofErr w:type="spellEnd"/>
      <w:r w:rsidRPr="00FA3CF6">
        <w:rPr>
          <w:rFonts w:ascii="Garamond" w:hAnsi="Garamond" w:cs="Times New Roman"/>
          <w:bCs/>
          <w:sz w:val="24"/>
          <w:szCs w:val="24"/>
          <w:lang w:val="en-ID"/>
        </w:rPr>
        <w:t xml:space="preserve"> et al., 2021; Gonzalo-Encabo et al., 2025).</w:t>
      </w:r>
    </w:p>
    <w:p w14:paraId="405F4141" w14:textId="77777777" w:rsidR="00E90CCF" w:rsidRPr="00FA3CF6" w:rsidRDefault="00E90CCF" w:rsidP="00EC4C39">
      <w:pPr>
        <w:ind w:firstLine="720"/>
        <w:jc w:val="both"/>
        <w:rPr>
          <w:rFonts w:ascii="Garamond" w:hAnsi="Garamond" w:cs="Times New Roman"/>
          <w:bCs/>
          <w:sz w:val="24"/>
          <w:szCs w:val="24"/>
          <w:lang w:val="en-ID"/>
        </w:rPr>
      </w:pPr>
      <w:r w:rsidRPr="00FA3CF6">
        <w:rPr>
          <w:rFonts w:ascii="Garamond" w:hAnsi="Garamond" w:cs="Times New Roman"/>
          <w:bCs/>
          <w:sz w:val="24"/>
          <w:szCs w:val="24"/>
          <w:lang w:val="en-ID"/>
        </w:rPr>
        <w:lastRenderedPageBreak/>
        <w:t>Although structured physical exercise (SPE), particularly resistance training, has a strong physiological rationale for counteracting the chronic catabolic state caused by systemic inflammation in cachexia, definitive evidence from randomized controlled trials (RCTs) regarding its impact on OS is scarce. Observational and pilot studies suggest SPE may improve QoL and, in theory, OS, but full-scale RCTs meeting PICO (Population, Intervention, Comparison, Outcome) criteria are not yet available (</w:t>
      </w:r>
      <w:proofErr w:type="spellStart"/>
      <w:r w:rsidRPr="00FA3CF6">
        <w:rPr>
          <w:rFonts w:ascii="Garamond" w:hAnsi="Garamond" w:cs="Times New Roman"/>
          <w:bCs/>
          <w:sz w:val="24"/>
          <w:szCs w:val="24"/>
          <w:lang w:val="en-ID"/>
        </w:rPr>
        <w:t>Avancini</w:t>
      </w:r>
      <w:proofErr w:type="spellEnd"/>
      <w:r w:rsidRPr="00FA3CF6">
        <w:rPr>
          <w:rFonts w:ascii="Garamond" w:hAnsi="Garamond" w:cs="Times New Roman"/>
          <w:bCs/>
          <w:sz w:val="24"/>
          <w:szCs w:val="24"/>
          <w:lang w:val="en-ID"/>
        </w:rPr>
        <w:t xml:space="preserve"> et al., 2020; Campbell et al., 2019).</w:t>
      </w:r>
    </w:p>
    <w:p w14:paraId="21572D30" w14:textId="77777777" w:rsidR="00E90CCF" w:rsidRPr="00FA3CF6" w:rsidRDefault="00E90CCF" w:rsidP="00EC4C39">
      <w:pPr>
        <w:ind w:firstLine="720"/>
        <w:jc w:val="both"/>
        <w:rPr>
          <w:rFonts w:ascii="Garamond" w:hAnsi="Garamond" w:cs="Times New Roman"/>
          <w:bCs/>
          <w:sz w:val="24"/>
          <w:szCs w:val="24"/>
          <w:lang w:val="en-ID"/>
        </w:rPr>
      </w:pPr>
      <w:r w:rsidRPr="00FA3CF6">
        <w:rPr>
          <w:rFonts w:ascii="Garamond" w:hAnsi="Garamond" w:cs="Times New Roman"/>
          <w:bCs/>
          <w:sz w:val="24"/>
          <w:szCs w:val="24"/>
          <w:lang w:val="en-ID"/>
        </w:rPr>
        <w:t xml:space="preserve">Ongoing RCT protocols such as RELEVIUM, </w:t>
      </w:r>
      <w:proofErr w:type="spellStart"/>
      <w:r w:rsidRPr="00FA3CF6">
        <w:rPr>
          <w:rFonts w:ascii="Garamond" w:hAnsi="Garamond" w:cs="Times New Roman"/>
          <w:bCs/>
          <w:sz w:val="24"/>
          <w:szCs w:val="24"/>
          <w:lang w:val="en-ID"/>
        </w:rPr>
        <w:t>BiCyCLE</w:t>
      </w:r>
      <w:proofErr w:type="spellEnd"/>
      <w:r w:rsidRPr="00FA3CF6">
        <w:rPr>
          <w:rFonts w:ascii="Garamond" w:hAnsi="Garamond" w:cs="Times New Roman"/>
          <w:bCs/>
          <w:sz w:val="24"/>
          <w:szCs w:val="24"/>
          <w:lang w:val="en-ID"/>
        </w:rPr>
        <w:t xml:space="preserve"> NMES, and REBUILD are promising, but show heterogeneity in intervention design, LBM measurements (BIA vs. CT scan), and outcomes, with only one protocol listing OS as a secondary outcome. The high risk of bias inherent in domain blinding (</w:t>
      </w:r>
      <w:proofErr w:type="spellStart"/>
      <w:r w:rsidRPr="00FA3CF6">
        <w:rPr>
          <w:rFonts w:ascii="Garamond" w:hAnsi="Garamond" w:cs="Times New Roman"/>
          <w:bCs/>
          <w:sz w:val="24"/>
          <w:szCs w:val="24"/>
          <w:lang w:val="en-ID"/>
        </w:rPr>
        <w:t>RoB</w:t>
      </w:r>
      <w:proofErr w:type="spellEnd"/>
      <w:r w:rsidRPr="00FA3CF6">
        <w:rPr>
          <w:rFonts w:ascii="Garamond" w:hAnsi="Garamond" w:cs="Times New Roman"/>
          <w:bCs/>
          <w:sz w:val="24"/>
          <w:szCs w:val="24"/>
          <w:lang w:val="en-ID"/>
        </w:rPr>
        <w:t xml:space="preserve"> 2.0) in volitional exercise interventions further complicates interpretation (Pring et al., 2021; Hillen et al., 2025).</w:t>
      </w:r>
    </w:p>
    <w:p w14:paraId="286D445C" w14:textId="77777777" w:rsidR="00E90CCF" w:rsidRPr="00FA3CF6" w:rsidRDefault="00E90CCF" w:rsidP="00EC4C39">
      <w:pPr>
        <w:ind w:firstLine="720"/>
        <w:jc w:val="both"/>
        <w:rPr>
          <w:rFonts w:ascii="Garamond" w:hAnsi="Garamond" w:cs="Times New Roman"/>
          <w:bCs/>
          <w:sz w:val="24"/>
          <w:szCs w:val="24"/>
          <w:lang w:val="en-ID"/>
        </w:rPr>
      </w:pPr>
      <w:r w:rsidRPr="00FA3CF6">
        <w:rPr>
          <w:rFonts w:ascii="Garamond" w:hAnsi="Garamond" w:cs="Times New Roman"/>
          <w:bCs/>
          <w:sz w:val="24"/>
          <w:szCs w:val="24"/>
          <w:lang w:val="en-ID"/>
        </w:rPr>
        <w:t xml:space="preserve">This Evidence-Based Clinical Review (EBCR) aims to assess the methodological quality and clinical relevance of ongoing RCT protocols regarding the effect of SPE on OS in patients with advanced GI cancer with cachexia, using the Cochrane </w:t>
      </w:r>
      <w:proofErr w:type="spellStart"/>
      <w:r w:rsidRPr="00FA3CF6">
        <w:rPr>
          <w:rFonts w:ascii="Garamond" w:hAnsi="Garamond" w:cs="Times New Roman"/>
          <w:bCs/>
          <w:sz w:val="24"/>
          <w:szCs w:val="24"/>
          <w:lang w:val="en-ID"/>
        </w:rPr>
        <w:t>RoB</w:t>
      </w:r>
      <w:proofErr w:type="spellEnd"/>
      <w:r w:rsidRPr="00FA3CF6">
        <w:rPr>
          <w:rFonts w:ascii="Garamond" w:hAnsi="Garamond" w:cs="Times New Roman"/>
          <w:bCs/>
          <w:sz w:val="24"/>
          <w:szCs w:val="24"/>
          <w:lang w:val="en-ID"/>
        </w:rPr>
        <w:t xml:space="preserve"> 2.0 tool and the Oxford CEBM internal validity criteria. The urgency of this study arises from the urgent need for non-pharmacological supportive interventions to address the evidence gap that limits current clinical recommendations, as cachexia contributes significantly to high mortality in this population (Arends et al., 2017; Burke et al., 2025). The novelty lies in the analysis of RCT protocols (Level of Evidence 1b) highlighting heterogeneity in outcomes and LBM measurements, as well as recommendations for standardization of OS and CT scans for future meta-analyses, which have not been comprehensively addressed previously (Gonzalo-Encabo et al., 2025; Pring et al., 2021).</w:t>
      </w:r>
    </w:p>
    <w:p w14:paraId="02E44090" w14:textId="77777777" w:rsidR="00B81E45" w:rsidRPr="00FA3CF6" w:rsidRDefault="00B81E45" w:rsidP="00EC4C39">
      <w:pPr>
        <w:ind w:firstLine="720"/>
        <w:jc w:val="both"/>
        <w:rPr>
          <w:rFonts w:ascii="Garamond" w:hAnsi="Garamond" w:cstheme="minorBidi"/>
          <w:sz w:val="24"/>
          <w:szCs w:val="24"/>
          <w:lang w:val="en-ID"/>
        </w:rPr>
      </w:pPr>
    </w:p>
    <w:p w14:paraId="098D7E33" w14:textId="77777777" w:rsidR="00A924F2" w:rsidRPr="005E3BCD" w:rsidRDefault="00FB3E8B" w:rsidP="00EC4C39">
      <w:pPr>
        <w:ind w:firstLine="0"/>
        <w:jc w:val="both"/>
        <w:rPr>
          <w:rFonts w:ascii="Garamond" w:eastAsia="Garamond" w:hAnsi="Garamond" w:cstheme="minorBidi"/>
          <w:b/>
          <w:sz w:val="24"/>
          <w:szCs w:val="24"/>
          <w:lang w:val="is-IS"/>
        </w:rPr>
      </w:pPr>
      <w:r w:rsidRPr="005E3BCD">
        <w:rPr>
          <w:rFonts w:ascii="Garamond" w:eastAsia="Garamond" w:hAnsi="Garamond" w:cstheme="minorBidi"/>
          <w:b/>
          <w:sz w:val="24"/>
          <w:szCs w:val="24"/>
          <w:lang w:val="is-IS"/>
        </w:rPr>
        <w:t>METHOD</w:t>
      </w:r>
    </w:p>
    <w:p w14:paraId="142F329D" w14:textId="77777777" w:rsidR="00E90CCF" w:rsidRPr="005E3BCD" w:rsidRDefault="00E90CCF" w:rsidP="00EC4C39">
      <w:pPr>
        <w:ind w:firstLine="720"/>
        <w:jc w:val="both"/>
        <w:rPr>
          <w:rFonts w:ascii="Garamond" w:hAnsi="Garamond"/>
          <w:sz w:val="24"/>
          <w:szCs w:val="24"/>
          <w:lang w:val="is-IS"/>
        </w:rPr>
      </w:pPr>
      <w:r w:rsidRPr="005E3BCD">
        <w:rPr>
          <w:rFonts w:ascii="Garamond" w:hAnsi="Garamond"/>
          <w:sz w:val="24"/>
          <w:szCs w:val="24"/>
          <w:lang w:val="is-IS"/>
        </w:rPr>
        <w:t>This study is a critical narrative Evidence-Based Clinical Review (EBCR) with a mixed methods approach, integrating qualitative and quantitative analysis of ongoing RCT protocols according to the PICO framework to evaluate the methodological quality and clinical relevance of structured physical exercise interventions on leanness in patients with advanced gastrointestinal cancer. This type of study was designed as a systematic literature review with critical narrative synthesis because full RCT results were not available, thus focusing on protocol assessment using the modified Cochrane RoB 2.0 tool, as recommended for bias analysis at the study design stage. [Sugiyono, 2022][Creswell &amp; Creswell, 2022].</w:t>
      </w:r>
    </w:p>
    <w:p w14:paraId="71B57176" w14:textId="77777777" w:rsidR="00E90CCF" w:rsidRPr="005E3BCD" w:rsidRDefault="00E90CCF" w:rsidP="00EC4C39">
      <w:pPr>
        <w:ind w:firstLine="720"/>
        <w:jc w:val="both"/>
        <w:rPr>
          <w:rFonts w:ascii="Garamond" w:hAnsi="Garamond"/>
          <w:sz w:val="24"/>
          <w:szCs w:val="24"/>
          <w:lang w:val="is-IS"/>
        </w:rPr>
      </w:pPr>
      <w:r w:rsidRPr="005E3BCD">
        <w:rPr>
          <w:rFonts w:ascii="Garamond" w:hAnsi="Garamond"/>
          <w:sz w:val="24"/>
          <w:szCs w:val="24"/>
          <w:lang w:val="is-IS"/>
        </w:rPr>
        <w:t>The main instruments include a literature search strategy with keywords and MeSH terms adjusted per database (PubMed, Cochrane CENTRAL, Google Scholar), PICO-based inclusion/exclusion criteria, and critical appraisal tools such as RoB 2.0 (five domains: randomization, intervention deviation, missing data, outcome measurement, outcome selection) and the Oxford CEBM internal validity criteria. [Emzir, 2021][Sudaryono, 2021] Data analysis techniques were carried out through qualitative narrative synthesis to compare protocol characteristics (interventions, outcomes, LBM measurements), combined with quantitative assessment of RoB to anticipate future bias, without meta-analysis because outcome data were not yet available; this process followed the principle of mixed methods triangulation to increase validity. [Creswell &amp; Creswell, 2022].</w:t>
      </w:r>
    </w:p>
    <w:p w14:paraId="58CEB4EA" w14:textId="77777777" w:rsidR="00E90CCF" w:rsidRPr="005E3BCD" w:rsidRDefault="00E90CCF" w:rsidP="00EC4C39">
      <w:pPr>
        <w:ind w:firstLine="720"/>
        <w:jc w:val="both"/>
        <w:rPr>
          <w:rFonts w:ascii="Garamond" w:hAnsi="Garamond"/>
          <w:sz w:val="24"/>
          <w:szCs w:val="24"/>
          <w:lang w:val="is-IS"/>
        </w:rPr>
      </w:pPr>
      <w:r w:rsidRPr="005E3BCD">
        <w:rPr>
          <w:rFonts w:ascii="Garamond" w:hAnsi="Garamond"/>
          <w:sz w:val="24"/>
          <w:szCs w:val="24"/>
          <w:lang w:val="is-IS"/>
        </w:rPr>
        <w:t>The target population was adult patients (&gt;=18 years) with advanced gastrointestinal cancer (e.g., pancreatic, rectal, metastatic/unresectable colorectal) diagnosed with cachexia/sarcopenia based on standard criteria (EWGSOP/GLIM), while the sample consisted of three selected RCT protocols (RELEVIUM N=200, BiCyCLE NMES N=120, REBUILD N=94) from a total of 221 articles identified in November 2025, after duplicate screening (119 articles), abstract screening (32 full-text), and exclusion of 29 non-PICO studies.[Sugiyono, 2022][Sudaryono, 2021].</w:t>
      </w:r>
    </w:p>
    <w:p w14:paraId="0CFF4C9A" w14:textId="77777777" w:rsidR="00E90CCF" w:rsidRPr="005E3BCD" w:rsidRDefault="00E90CCF" w:rsidP="00EC4C39">
      <w:pPr>
        <w:ind w:firstLine="720"/>
        <w:jc w:val="both"/>
        <w:rPr>
          <w:rFonts w:ascii="Garamond" w:hAnsi="Garamond"/>
          <w:sz w:val="24"/>
          <w:szCs w:val="24"/>
          <w:lang w:val="is-IS"/>
        </w:rPr>
      </w:pPr>
      <w:r w:rsidRPr="005E3BCD">
        <w:rPr>
          <w:rFonts w:ascii="Garamond" w:hAnsi="Garamond"/>
          <w:sz w:val="24"/>
          <w:szCs w:val="24"/>
          <w:lang w:val="is-IS"/>
        </w:rPr>
        <w:t>The research procedure began with a systematic search without year/language restrictions using a specific syntax (e.g., PubMed: "GI cancer" OR "pancreatic cancer" AND exercis* AND survival AND RCT; Cochrane: cachexia* AND advanced GI cancer AND exercise AND RCT; Google Scholar: sarcopenia AND advanced GI cancer AND RCT), followed by deduplication, two-stage screening (title/abstract and full-text), and independent protocol appraisal by investigators; synthesis was performed through comparison tables (Tables 1-2) and critical narratives to identify OS gaps and LBM heterogeneity (CT scan vs BIA), with protocol registration from ClinicalTrials.gov to minimize publication bias. [Emzir, 2021][Creswell &amp; Creswell, 2022].</w:t>
      </w:r>
    </w:p>
    <w:p w14:paraId="392A7062" w14:textId="77777777" w:rsidR="00B81E45" w:rsidRPr="005E3BCD" w:rsidRDefault="00B81E45" w:rsidP="00EC4C39">
      <w:pPr>
        <w:ind w:firstLine="720"/>
        <w:jc w:val="both"/>
        <w:rPr>
          <w:rFonts w:ascii="Garamond" w:hAnsi="Garamond" w:cstheme="minorBidi"/>
          <w:sz w:val="24"/>
          <w:szCs w:val="24"/>
          <w:lang w:val="is-IS"/>
        </w:rPr>
      </w:pPr>
    </w:p>
    <w:p w14:paraId="2C264189" w14:textId="6A25320F" w:rsidR="00C43E64" w:rsidRPr="005E3BCD" w:rsidRDefault="0089575B" w:rsidP="00EC4C39">
      <w:pPr>
        <w:ind w:firstLine="0"/>
        <w:jc w:val="both"/>
        <w:rPr>
          <w:rFonts w:ascii="Garamond" w:eastAsia="Garamond" w:hAnsi="Garamond" w:cstheme="minorBidi"/>
          <w:b/>
          <w:sz w:val="24"/>
          <w:szCs w:val="24"/>
          <w:lang w:val="en-ID"/>
        </w:rPr>
      </w:pPr>
      <w:r w:rsidRPr="005E3BCD">
        <w:rPr>
          <w:rFonts w:ascii="Garamond" w:eastAsia="Garamond" w:hAnsi="Garamond" w:cstheme="minorBidi"/>
          <w:b/>
          <w:sz w:val="24"/>
          <w:szCs w:val="24"/>
          <w:lang w:val="en-ID"/>
        </w:rPr>
        <w:t xml:space="preserve">RESULTS </w:t>
      </w:r>
      <w:bookmarkStart w:id="2" w:name="_heading=h.a0wa7ixqk7ez" w:colFirst="0" w:colLast="0"/>
      <w:bookmarkEnd w:id="2"/>
    </w:p>
    <w:p w14:paraId="52ACE7C1" w14:textId="77777777" w:rsidR="00A64B54" w:rsidRPr="005E3BCD" w:rsidRDefault="00E90CCF" w:rsidP="00EC4C39">
      <w:pPr>
        <w:tabs>
          <w:tab w:val="left" w:pos="284"/>
        </w:tabs>
        <w:ind w:firstLine="0"/>
        <w:jc w:val="both"/>
        <w:rPr>
          <w:rFonts w:ascii="Garamond" w:eastAsia="Times New Roman" w:hAnsi="Garamond" w:cs="Times New Roman"/>
          <w:b/>
          <w:bCs/>
          <w:i/>
          <w:iCs/>
          <w:sz w:val="24"/>
          <w:szCs w:val="24"/>
          <w:lang w:val="en-ID" w:eastAsia="en-ID"/>
        </w:rPr>
      </w:pPr>
      <w:r w:rsidRPr="005E3BCD">
        <w:rPr>
          <w:rFonts w:ascii="Garamond" w:eastAsia="Times New Roman" w:hAnsi="Garamond" w:cs="Times New Roman"/>
          <w:b/>
          <w:bCs/>
          <w:i/>
          <w:iCs/>
          <w:sz w:val="24"/>
          <w:szCs w:val="24"/>
          <w:lang w:val="en-ID" w:eastAsia="en-ID"/>
        </w:rPr>
        <w:t>Study Selection.</w:t>
      </w:r>
    </w:p>
    <w:p w14:paraId="4E43BFCA" w14:textId="77777777" w:rsidR="00A64B54" w:rsidRPr="005E3BCD" w:rsidRDefault="00A64B54" w:rsidP="00EC4C39">
      <w:pPr>
        <w:tabs>
          <w:tab w:val="left" w:pos="284"/>
        </w:tabs>
        <w:ind w:firstLine="0"/>
        <w:jc w:val="both"/>
        <w:rPr>
          <w:rFonts w:ascii="Garamond" w:eastAsia="Times New Roman" w:hAnsi="Garamond" w:cs="Times New Roman"/>
          <w:sz w:val="24"/>
          <w:szCs w:val="24"/>
          <w:lang w:val="en-ID" w:eastAsia="en-ID"/>
        </w:rPr>
      </w:pPr>
      <w:r w:rsidRPr="005E3BCD">
        <w:rPr>
          <w:rFonts w:ascii="Garamond" w:eastAsia="Times New Roman" w:hAnsi="Garamond" w:cs="Times New Roman"/>
          <w:i/>
          <w:iCs/>
          <w:sz w:val="24"/>
          <w:szCs w:val="24"/>
          <w:lang w:val="en-ID" w:eastAsia="en-ID"/>
        </w:rPr>
        <w:tab/>
      </w:r>
      <w:r w:rsidRPr="005E3BCD">
        <w:rPr>
          <w:rFonts w:ascii="Garamond" w:eastAsia="Times New Roman" w:hAnsi="Garamond" w:cs="Times New Roman"/>
          <w:i/>
          <w:iCs/>
          <w:sz w:val="24"/>
          <w:szCs w:val="24"/>
          <w:lang w:val="en-ID" w:eastAsia="en-ID"/>
        </w:rPr>
        <w:tab/>
      </w:r>
      <w:r w:rsidR="00E90CCF" w:rsidRPr="005E3BCD">
        <w:rPr>
          <w:rFonts w:ascii="Garamond" w:eastAsia="Times New Roman" w:hAnsi="Garamond" w:cs="Times New Roman"/>
          <w:i/>
          <w:iCs/>
          <w:sz w:val="24"/>
          <w:szCs w:val="24"/>
          <w:lang w:val="en-ID" w:eastAsia="en-ID"/>
        </w:rPr>
        <w:t xml:space="preserve"> </w:t>
      </w:r>
      <w:r w:rsidR="00E90CCF" w:rsidRPr="005E3BCD">
        <w:rPr>
          <w:rFonts w:ascii="Garamond" w:eastAsia="Times New Roman" w:hAnsi="Garamond" w:cs="Times New Roman"/>
          <w:sz w:val="24"/>
          <w:szCs w:val="24"/>
          <w:lang w:val="en-ID" w:eastAsia="en-ID"/>
        </w:rPr>
        <w:t xml:space="preserve">The initial literature search across the PubMed, Cochrane Library, and Google Scholar databases identified 221 articles. The specific search strategies utilized for each database, along with the initial number of hits, are detailed (as shown in Table 1). After removing duplicates, 119 articles remain for title and abstract screening. Of these, 87 articles were deemed irrelevant, leaving 32 articles for full-text review. Upon full-text review, 29 studies were excluded for not meeting the population criteria (advanced GI cancer) or the outcome criteria (failing to report OS or LBM). Crucially, no complete RCT results were found that satisfied all PICO criteria. The comprehensive flow of the selection process is illustrated (see Figure 1). Therefore, this Clinical Evidence Review focuses on three highly relevant, ongoing, or newly published RCT protocols: RELEVIUM, </w:t>
      </w:r>
      <w:proofErr w:type="spellStart"/>
      <w:r w:rsidR="00E90CCF" w:rsidRPr="005E3BCD">
        <w:rPr>
          <w:rFonts w:ascii="Garamond" w:eastAsia="Times New Roman" w:hAnsi="Garamond" w:cs="Times New Roman"/>
          <w:sz w:val="24"/>
          <w:szCs w:val="24"/>
          <w:lang w:val="en-ID" w:eastAsia="en-ID"/>
        </w:rPr>
        <w:t>BiCyCLE</w:t>
      </w:r>
      <w:proofErr w:type="spellEnd"/>
      <w:r w:rsidR="00E90CCF" w:rsidRPr="005E3BCD">
        <w:rPr>
          <w:rFonts w:ascii="Garamond" w:eastAsia="Times New Roman" w:hAnsi="Garamond" w:cs="Times New Roman"/>
          <w:sz w:val="24"/>
          <w:szCs w:val="24"/>
          <w:lang w:val="en-ID" w:eastAsia="en-ID"/>
        </w:rPr>
        <w:t xml:space="preserve"> NMES, and REBUILD.</w:t>
      </w:r>
    </w:p>
    <w:p w14:paraId="182178B5" w14:textId="77777777" w:rsidR="00A64B54" w:rsidRPr="005E3BCD" w:rsidRDefault="00A64B54" w:rsidP="00EC4C39">
      <w:pPr>
        <w:tabs>
          <w:tab w:val="left" w:pos="284"/>
        </w:tabs>
        <w:ind w:firstLine="0"/>
        <w:jc w:val="both"/>
        <w:rPr>
          <w:rFonts w:ascii="Garamond" w:eastAsia="Times New Roman" w:hAnsi="Garamond" w:cs="Times New Roman"/>
          <w:sz w:val="24"/>
          <w:szCs w:val="24"/>
          <w:lang w:val="en-ID" w:eastAsia="en-ID"/>
        </w:rPr>
      </w:pPr>
    </w:p>
    <w:p w14:paraId="572086CD" w14:textId="77777777" w:rsidR="00A64B54" w:rsidRPr="005E3BCD" w:rsidRDefault="00E90CCF" w:rsidP="00EC4C39">
      <w:pPr>
        <w:tabs>
          <w:tab w:val="left" w:pos="284"/>
        </w:tabs>
        <w:ind w:firstLine="0"/>
        <w:jc w:val="both"/>
        <w:rPr>
          <w:rFonts w:ascii="Garamond" w:eastAsia="Times New Roman" w:hAnsi="Garamond" w:cs="Times New Roman"/>
          <w:b/>
          <w:bCs/>
          <w:i/>
          <w:iCs/>
          <w:sz w:val="24"/>
          <w:szCs w:val="24"/>
          <w:lang w:val="en-ID" w:eastAsia="en-ID"/>
        </w:rPr>
      </w:pPr>
      <w:r w:rsidRPr="005E3BCD">
        <w:rPr>
          <w:rFonts w:ascii="Garamond" w:eastAsia="Times New Roman" w:hAnsi="Garamond" w:cs="Times New Roman"/>
          <w:b/>
          <w:bCs/>
          <w:i/>
          <w:iCs/>
          <w:sz w:val="24"/>
          <w:szCs w:val="24"/>
          <w:lang w:val="en-ID" w:eastAsia="en-ID"/>
        </w:rPr>
        <w:t>Characteristics of Included Protocols.</w:t>
      </w:r>
    </w:p>
    <w:p w14:paraId="15E05884" w14:textId="77777777" w:rsidR="00A64B54" w:rsidRPr="005E3BCD" w:rsidRDefault="00A64B54" w:rsidP="00EC4C39">
      <w:pPr>
        <w:tabs>
          <w:tab w:val="left" w:pos="284"/>
        </w:tabs>
        <w:ind w:firstLine="0"/>
        <w:jc w:val="both"/>
        <w:rPr>
          <w:rFonts w:ascii="Garamond" w:eastAsia="Times New Roman" w:hAnsi="Garamond" w:cs="Times New Roman"/>
          <w:sz w:val="24"/>
          <w:szCs w:val="24"/>
          <w:lang w:val="en-ID" w:eastAsia="en-ID"/>
        </w:rPr>
      </w:pPr>
      <w:r w:rsidRPr="005E3BCD">
        <w:rPr>
          <w:rFonts w:ascii="Garamond" w:eastAsia="Times New Roman" w:hAnsi="Garamond" w:cs="Times New Roman"/>
          <w:sz w:val="24"/>
          <w:szCs w:val="24"/>
          <w:lang w:val="en-ID" w:eastAsia="en-ID"/>
        </w:rPr>
        <w:tab/>
      </w:r>
      <w:r w:rsidRPr="005E3BCD">
        <w:rPr>
          <w:rFonts w:ascii="Garamond" w:eastAsia="Times New Roman" w:hAnsi="Garamond" w:cs="Times New Roman"/>
          <w:sz w:val="24"/>
          <w:szCs w:val="24"/>
          <w:lang w:val="en-ID" w:eastAsia="en-ID"/>
        </w:rPr>
        <w:tab/>
      </w:r>
      <w:r w:rsidR="00E90CCF" w:rsidRPr="005E3BCD">
        <w:rPr>
          <w:rFonts w:ascii="Garamond" w:eastAsia="Times New Roman" w:hAnsi="Garamond" w:cs="Times New Roman"/>
          <w:sz w:val="24"/>
          <w:szCs w:val="24"/>
          <w:lang w:val="en-ID" w:eastAsia="en-ID"/>
        </w:rPr>
        <w:t>The three RCT protocols included in this review focused on patients with advanced GI cancer; however, variations exist in cancer type, sarcopenia criteria, and intervention design. The RELEVIUM and REBUILD protocols specifically focus on Pancreatic Cancer, whereas BiCyCLE NMES is centered on Rectal Cancer in a perioperative setting. All key methodological information is summarized in Table 2.</w:t>
      </w:r>
    </w:p>
    <w:p w14:paraId="5AB084F6" w14:textId="77777777" w:rsidR="00A64B54" w:rsidRPr="005E3BCD" w:rsidRDefault="00A64B54" w:rsidP="00EC4C39">
      <w:pPr>
        <w:tabs>
          <w:tab w:val="left" w:pos="284"/>
        </w:tabs>
        <w:ind w:firstLine="0"/>
        <w:jc w:val="both"/>
        <w:rPr>
          <w:rFonts w:ascii="Garamond" w:eastAsia="Times New Roman" w:hAnsi="Garamond" w:cs="Times New Roman"/>
          <w:sz w:val="24"/>
          <w:szCs w:val="24"/>
          <w:lang w:val="en-ID" w:eastAsia="en-ID"/>
        </w:rPr>
      </w:pPr>
    </w:p>
    <w:p w14:paraId="40E9B65F" w14:textId="77777777" w:rsidR="00A64B54" w:rsidRPr="005E3BCD" w:rsidRDefault="00E90CCF" w:rsidP="00EC4C39">
      <w:pPr>
        <w:tabs>
          <w:tab w:val="left" w:pos="284"/>
        </w:tabs>
        <w:ind w:firstLine="0"/>
        <w:jc w:val="both"/>
        <w:rPr>
          <w:rFonts w:ascii="Garamond" w:eastAsia="Times New Roman" w:hAnsi="Garamond" w:cs="Times New Roman"/>
          <w:b/>
          <w:bCs/>
          <w:i/>
          <w:iCs/>
          <w:sz w:val="24"/>
          <w:szCs w:val="24"/>
          <w:lang w:val="en-ID" w:eastAsia="en-ID"/>
        </w:rPr>
      </w:pPr>
      <w:r w:rsidRPr="005E3BCD">
        <w:rPr>
          <w:rFonts w:ascii="Garamond" w:eastAsia="Times New Roman" w:hAnsi="Garamond" w:cs="Times New Roman"/>
          <w:b/>
          <w:bCs/>
          <w:i/>
          <w:iCs/>
          <w:sz w:val="24"/>
          <w:szCs w:val="24"/>
          <w:lang w:val="en-ID" w:eastAsia="en-ID"/>
        </w:rPr>
        <w:t>Risk of Bias (</w:t>
      </w:r>
      <w:proofErr w:type="spellStart"/>
      <w:r w:rsidRPr="005E3BCD">
        <w:rPr>
          <w:rFonts w:ascii="Garamond" w:eastAsia="Times New Roman" w:hAnsi="Garamond" w:cs="Times New Roman"/>
          <w:b/>
          <w:bCs/>
          <w:i/>
          <w:iCs/>
          <w:sz w:val="24"/>
          <w:szCs w:val="24"/>
          <w:lang w:val="en-ID" w:eastAsia="en-ID"/>
        </w:rPr>
        <w:t>RoB</w:t>
      </w:r>
      <w:proofErr w:type="spellEnd"/>
      <w:r w:rsidRPr="005E3BCD">
        <w:rPr>
          <w:rFonts w:ascii="Garamond" w:eastAsia="Times New Roman" w:hAnsi="Garamond" w:cs="Times New Roman"/>
          <w:b/>
          <w:bCs/>
          <w:i/>
          <w:iCs/>
          <w:sz w:val="24"/>
          <w:szCs w:val="24"/>
          <w:lang w:val="en-ID" w:eastAsia="en-ID"/>
        </w:rPr>
        <w:t>) Assessment.</w:t>
      </w:r>
    </w:p>
    <w:p w14:paraId="011E295D" w14:textId="77777777" w:rsidR="00A64B54" w:rsidRDefault="00A64B54" w:rsidP="00EC4C39">
      <w:pPr>
        <w:tabs>
          <w:tab w:val="left" w:pos="284"/>
        </w:tabs>
        <w:ind w:firstLine="0"/>
        <w:jc w:val="both"/>
        <w:rPr>
          <w:rFonts w:ascii="Garamond" w:eastAsia="Times New Roman" w:hAnsi="Garamond" w:cs="Times New Roman"/>
          <w:sz w:val="24"/>
          <w:szCs w:val="24"/>
          <w:lang w:val="en-ID" w:eastAsia="en-ID"/>
        </w:rPr>
      </w:pPr>
      <w:r w:rsidRPr="005E3BCD">
        <w:rPr>
          <w:rFonts w:ascii="Garamond" w:eastAsia="Times New Roman" w:hAnsi="Garamond" w:cs="Times New Roman"/>
          <w:sz w:val="24"/>
          <w:szCs w:val="24"/>
          <w:lang w:val="en-ID" w:eastAsia="en-ID"/>
        </w:rPr>
        <w:tab/>
      </w:r>
      <w:r w:rsidRPr="005E3BCD">
        <w:rPr>
          <w:rFonts w:ascii="Garamond" w:eastAsia="Times New Roman" w:hAnsi="Garamond" w:cs="Times New Roman"/>
          <w:sz w:val="24"/>
          <w:szCs w:val="24"/>
          <w:lang w:val="en-ID" w:eastAsia="en-ID"/>
        </w:rPr>
        <w:tab/>
      </w:r>
      <w:r w:rsidR="00E90CCF" w:rsidRPr="005E3BCD">
        <w:rPr>
          <w:rFonts w:ascii="Garamond" w:eastAsia="Times New Roman" w:hAnsi="Garamond" w:cs="Times New Roman"/>
          <w:sz w:val="24"/>
          <w:szCs w:val="24"/>
          <w:lang w:val="en-ID" w:eastAsia="en-ID"/>
        </w:rPr>
        <w:t xml:space="preserve">This review crucially relied on registered and/or published study protocols. As we did not possess definitive outcome data, the traditional assessment of Publication Bias using a Funnel Plot could not be performed. However, it is notable that the three included protocols (RELEVIUM, BiCyCLE NMES, and REBUILD) all originated from reputable academic institutional research </w:t>
      </w:r>
      <w:proofErr w:type="spellStart"/>
      <w:r w:rsidR="00E90CCF" w:rsidRPr="005E3BCD">
        <w:rPr>
          <w:rFonts w:ascii="Garamond" w:eastAsia="Times New Roman" w:hAnsi="Garamond" w:cs="Times New Roman"/>
          <w:sz w:val="24"/>
          <w:szCs w:val="24"/>
          <w:lang w:val="en-ID" w:eastAsia="en-ID"/>
        </w:rPr>
        <w:t>centers</w:t>
      </w:r>
      <w:proofErr w:type="spellEnd"/>
      <w:r w:rsidR="00E90CCF" w:rsidRPr="005E3BCD">
        <w:rPr>
          <w:rFonts w:ascii="Garamond" w:eastAsia="Times New Roman" w:hAnsi="Garamond" w:cs="Times New Roman"/>
          <w:sz w:val="24"/>
          <w:szCs w:val="24"/>
          <w:lang w:val="en-ID" w:eastAsia="en-ID"/>
        </w:rPr>
        <w:t xml:space="preserve"> and </w:t>
      </w:r>
      <w:proofErr w:type="spellStart"/>
      <w:r w:rsidR="00E90CCF" w:rsidRPr="005E3BCD">
        <w:rPr>
          <w:rFonts w:ascii="Garamond" w:eastAsia="Times New Roman" w:hAnsi="Garamond" w:cs="Times New Roman"/>
          <w:sz w:val="24"/>
          <w:szCs w:val="24"/>
          <w:lang w:val="en-ID" w:eastAsia="en-ID"/>
        </w:rPr>
        <w:t>were</w:t>
      </w:r>
      <w:r w:rsidRPr="005E3BCD">
        <w:rPr>
          <w:rFonts w:ascii="Garamond" w:eastAsia="Times New Roman" w:hAnsi="Garamond" w:cs="Times New Roman"/>
          <w:sz w:val="24"/>
          <w:szCs w:val="24"/>
          <w:lang w:val="en-ID" w:eastAsia="en-ID"/>
        </w:rPr>
        <w:t>officially</w:t>
      </w:r>
      <w:proofErr w:type="spellEnd"/>
      <w:r w:rsidRPr="005E3BCD">
        <w:rPr>
          <w:rFonts w:ascii="Garamond" w:eastAsia="Times New Roman" w:hAnsi="Garamond" w:cs="Times New Roman"/>
          <w:sz w:val="24"/>
          <w:szCs w:val="24"/>
          <w:lang w:val="en-ID" w:eastAsia="en-ID"/>
        </w:rPr>
        <w:t xml:space="preserve"> registered in international clinical trial registries, which mitigates the risk that these studies will be abandoned or their results left unpublished (the file-drawer problem). Nevertheless, a potential bias remains: RCTs with negative results or those that failed to secure funding early may not yet have been published as protocols.</w:t>
      </w:r>
    </w:p>
    <w:p w14:paraId="5E3C6114" w14:textId="44AAA6D0" w:rsidR="00850048" w:rsidRDefault="00850048" w:rsidP="00EC4C39">
      <w:pPr>
        <w:tabs>
          <w:tab w:val="left" w:pos="284"/>
        </w:tabs>
        <w:ind w:firstLine="0"/>
        <w:jc w:val="both"/>
        <w:rPr>
          <w:rFonts w:ascii="Garamond" w:eastAsia="Times New Roman" w:hAnsi="Garamond" w:cs="Times New Roman"/>
          <w:sz w:val="24"/>
          <w:szCs w:val="24"/>
          <w:lang w:val="en-ID" w:eastAsia="en-ID"/>
        </w:rPr>
      </w:pPr>
      <w:r w:rsidRPr="005E3BCD">
        <w:rPr>
          <w:rFonts w:ascii="Garamond" w:hAnsi="Garamond" w:cs="Arial"/>
          <w:noProof/>
          <w:kern w:val="2"/>
          <w:sz w:val="22"/>
          <w:szCs w:val="22"/>
          <w:lang w:val="en-ID"/>
          <w14:ligatures w14:val="standardContextual"/>
        </w:rPr>
        <mc:AlternateContent>
          <mc:Choice Requires="wps">
            <w:drawing>
              <wp:anchor distT="0" distB="0" distL="114300" distR="114300" simplePos="0" relativeHeight="251659776" behindDoc="0" locked="0" layoutInCell="1" allowOverlap="1" wp14:anchorId="6462B5DE" wp14:editId="0CE36512">
                <wp:simplePos x="0" y="0"/>
                <wp:positionH relativeFrom="margin">
                  <wp:posOffset>1409700</wp:posOffset>
                </wp:positionH>
                <wp:positionV relativeFrom="paragraph">
                  <wp:posOffset>37465</wp:posOffset>
                </wp:positionV>
                <wp:extent cx="3115310" cy="635"/>
                <wp:effectExtent l="0" t="0" r="8890" b="0"/>
                <wp:wrapNone/>
                <wp:docPr id="170506112" name="Text Box 1"/>
                <wp:cNvGraphicFramePr/>
                <a:graphic xmlns:a="http://schemas.openxmlformats.org/drawingml/2006/main">
                  <a:graphicData uri="http://schemas.microsoft.com/office/word/2010/wordprocessingShape">
                    <wps:wsp>
                      <wps:cNvSpPr txBox="1"/>
                      <wps:spPr>
                        <a:xfrm>
                          <a:off x="0" y="0"/>
                          <a:ext cx="3115310" cy="635"/>
                        </a:xfrm>
                        <a:prstGeom prst="rect">
                          <a:avLst/>
                        </a:prstGeom>
                        <a:solidFill>
                          <a:prstClr val="white"/>
                        </a:solidFill>
                        <a:ln>
                          <a:noFill/>
                        </a:ln>
                      </wps:spPr>
                      <wps:txbx>
                        <w:txbxContent>
                          <w:p w14:paraId="69F0CC97" w14:textId="77777777" w:rsidR="00850048" w:rsidRPr="00FA3CF6" w:rsidRDefault="00850048" w:rsidP="00850048">
                            <w:pPr>
                              <w:pStyle w:val="Caption1"/>
                              <w:jc w:val="center"/>
                              <w:rPr>
                                <w:rFonts w:ascii="Times New Roman" w:eastAsia="Times New Roman" w:hAnsi="Times New Roman" w:cs="Times New Roman"/>
                                <w:b/>
                                <w:bCs/>
                                <w:i w:val="0"/>
                                <w:iCs w:val="0"/>
                                <w:color w:val="000000"/>
                                <w:kern w:val="0"/>
                                <w:sz w:val="24"/>
                                <w:szCs w:val="24"/>
                                <w14:ligatures w14:val="none"/>
                              </w:rPr>
                            </w:pPr>
                            <w:r w:rsidRPr="00FA3CF6">
                              <w:rPr>
                                <w:rFonts w:ascii="Times New Roman" w:hAnsi="Times New Roman" w:cs="Times New Roman"/>
                                <w:b/>
                                <w:bCs/>
                                <w:i w:val="0"/>
                                <w:iCs w:val="0"/>
                                <w:color w:val="000000"/>
                                <w:sz w:val="24"/>
                                <w:szCs w:val="24"/>
                              </w:rPr>
                              <w:t>Figure</w:t>
                            </w:r>
                            <w:r w:rsidRPr="00FA3CF6">
                              <w:rPr>
                                <w:rFonts w:ascii="Times New Roman" w:hAnsi="Times New Roman" w:cs="Times New Roman"/>
                                <w:b/>
                                <w:bCs/>
                                <w:i w:val="0"/>
                                <w:iCs w:val="0"/>
                                <w:color w:val="000000"/>
                                <w:sz w:val="24"/>
                                <w:szCs w:val="24"/>
                              </w:rPr>
                              <w:fldChar w:fldCharType="begin"/>
                            </w:r>
                            <w:r w:rsidRPr="00FA3CF6">
                              <w:rPr>
                                <w:rFonts w:ascii="Times New Roman" w:hAnsi="Times New Roman" w:cs="Times New Roman"/>
                                <w:b/>
                                <w:bCs/>
                                <w:i w:val="0"/>
                                <w:iCs w:val="0"/>
                                <w:color w:val="000000"/>
                                <w:sz w:val="24"/>
                                <w:szCs w:val="24"/>
                              </w:rPr>
                              <w:instrText xml:space="preserve"> SEQ Figure \* ARABIC </w:instrText>
                            </w:r>
                            <w:r w:rsidRPr="00FA3CF6">
                              <w:rPr>
                                <w:rFonts w:ascii="Times New Roman" w:hAnsi="Times New Roman" w:cs="Times New Roman"/>
                                <w:b/>
                                <w:bCs/>
                                <w:i w:val="0"/>
                                <w:iCs w:val="0"/>
                                <w:color w:val="000000"/>
                                <w:sz w:val="24"/>
                                <w:szCs w:val="24"/>
                              </w:rPr>
                              <w:fldChar w:fldCharType="separate"/>
                            </w:r>
                            <w:r w:rsidRPr="00FA3CF6">
                              <w:rPr>
                                <w:rFonts w:ascii="Times New Roman" w:hAnsi="Times New Roman" w:cs="Times New Roman"/>
                                <w:b/>
                                <w:bCs/>
                                <w:i w:val="0"/>
                                <w:iCs w:val="0"/>
                                <w:noProof/>
                                <w:color w:val="000000"/>
                                <w:sz w:val="24"/>
                                <w:szCs w:val="24"/>
                              </w:rPr>
                              <w:t>1</w:t>
                            </w:r>
                            <w:r w:rsidRPr="00FA3CF6">
                              <w:rPr>
                                <w:rFonts w:ascii="Times New Roman" w:hAnsi="Times New Roman" w:cs="Times New Roman"/>
                                <w:b/>
                                <w:bCs/>
                                <w:i w:val="0"/>
                                <w:iCs w:val="0"/>
                                <w:color w:val="000000"/>
                                <w:sz w:val="24"/>
                                <w:szCs w:val="24"/>
                              </w:rPr>
                              <w:fldChar w:fldCharType="end"/>
                            </w:r>
                            <w:r w:rsidRPr="00FA3CF6">
                              <w:rPr>
                                <w:rFonts w:ascii="Times New Roman" w:hAnsi="Times New Roman" w:cs="Times New Roman"/>
                                <w:b/>
                                <w:bCs/>
                                <w:i w:val="0"/>
                                <w:iCs w:val="0"/>
                                <w:color w:val="000000"/>
                                <w:sz w:val="24"/>
                                <w:szCs w:val="24"/>
                              </w:rPr>
                              <w:t>. PRISMA flowchart outlining the process of article selection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462B5DE" id="_x0000_t202" coordsize="21600,21600" o:spt="202" path="m,l,21600r21600,l21600,xe">
                <v:stroke joinstyle="miter"/>
                <v:path gradientshapeok="t" o:connecttype="rect"/>
              </v:shapetype>
              <v:shape id="Text Box 1" o:spid="_x0000_s1026" type="#_x0000_t202" style="position:absolute;left:0;text-align:left;margin-left:111pt;margin-top:2.95pt;width:245.3pt;height:.05pt;z-index:2516597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" stroked="f">
                <v:textbox style="mso-fit-shape-to-text:t" inset="0,0,0,0">
                  <w:txbxContent>
                    <w:p w14:paraId="69F0CC97" w14:textId="77777777" w:rsidR="00850048" w:rsidRPr="00FA3CF6" w:rsidRDefault="00850048" w:rsidP="00850048">
                      <w:pPr>
                        <w:pStyle w:val="Caption1"/>
                        <w:jc w:val="center"/>
                        <w:rPr>
                          <w:rFonts w:ascii="Times New Roman" w:eastAsia="Times New Roman" w:hAnsi="Times New Roman" w:cs="Times New Roman"/>
                          <w:b/>
                          <w:bCs/>
                          <w:i w:val="0"/>
                          <w:iCs w:val="0"/>
                          <w:color w:val="000000"/>
                          <w:kern w:val="0"/>
                          <w:sz w:val="24"/>
                          <w:szCs w:val="24"/>
                          <w14:ligatures w14:val="none"/>
                        </w:rPr>
                      </w:pPr>
                      <w:r w:rsidRPr="00FA3CF6">
                        <w:rPr>
                          <w:rFonts w:ascii="Times New Roman" w:hAnsi="Times New Roman" w:cs="Times New Roman"/>
                          <w:b/>
                          <w:bCs/>
                          <w:i w:val="0"/>
                          <w:iCs w:val="0"/>
                          <w:color w:val="000000"/>
                          <w:sz w:val="24"/>
                          <w:szCs w:val="24"/>
                        </w:rPr>
                        <w:t>Figure</w:t>
                      </w:r>
                      <w:r w:rsidRPr="00FA3CF6">
                        <w:rPr>
                          <w:rFonts w:ascii="Times New Roman" w:hAnsi="Times New Roman" w:cs="Times New Roman"/>
                          <w:b/>
                          <w:bCs/>
                          <w:i w:val="0"/>
                          <w:iCs w:val="0"/>
                          <w:color w:val="000000"/>
                          <w:sz w:val="24"/>
                          <w:szCs w:val="24"/>
                        </w:rPr>
                        <w:fldChar w:fldCharType="begin"/>
                      </w:r>
                      <w:r w:rsidRPr="00FA3CF6">
                        <w:rPr>
                          <w:rFonts w:ascii="Times New Roman" w:hAnsi="Times New Roman" w:cs="Times New Roman"/>
                          <w:b/>
                          <w:bCs/>
                          <w:i w:val="0"/>
                          <w:iCs w:val="0"/>
                          <w:color w:val="000000"/>
                          <w:sz w:val="24"/>
                          <w:szCs w:val="24"/>
                        </w:rPr>
                        <w:instrText xml:space="preserve"> SEQ Figure \* ARABIC </w:instrText>
                      </w:r>
                      <w:r w:rsidRPr="00FA3CF6">
                        <w:rPr>
                          <w:rFonts w:ascii="Times New Roman" w:hAnsi="Times New Roman" w:cs="Times New Roman"/>
                          <w:b/>
                          <w:bCs/>
                          <w:i w:val="0"/>
                          <w:iCs w:val="0"/>
                          <w:color w:val="000000"/>
                          <w:sz w:val="24"/>
                          <w:szCs w:val="24"/>
                        </w:rPr>
                        <w:fldChar w:fldCharType="separate"/>
                      </w:r>
                      <w:r w:rsidRPr="00FA3CF6">
                        <w:rPr>
                          <w:rFonts w:ascii="Times New Roman" w:hAnsi="Times New Roman" w:cs="Times New Roman"/>
                          <w:b/>
                          <w:bCs/>
                          <w:i w:val="0"/>
                          <w:iCs w:val="0"/>
                          <w:noProof/>
                          <w:color w:val="000000"/>
                          <w:sz w:val="24"/>
                          <w:szCs w:val="24"/>
                        </w:rPr>
                        <w:t>1</w:t>
                      </w:r>
                      <w:r w:rsidRPr="00FA3CF6">
                        <w:rPr>
                          <w:rFonts w:ascii="Times New Roman" w:hAnsi="Times New Roman" w:cs="Times New Roman"/>
                          <w:b/>
                          <w:bCs/>
                          <w:i w:val="0"/>
                          <w:iCs w:val="0"/>
                          <w:color w:val="000000"/>
                          <w:sz w:val="24"/>
                          <w:szCs w:val="24"/>
                        </w:rPr>
                        <w:fldChar w:fldCharType="end"/>
                      </w:r>
                      <w:r w:rsidRPr="00FA3CF6">
                        <w:rPr>
                          <w:rFonts w:ascii="Times New Roman" w:hAnsi="Times New Roman" w:cs="Times New Roman"/>
                          <w:b/>
                          <w:bCs/>
                          <w:i w:val="0"/>
                          <w:iCs w:val="0"/>
                          <w:color w:val="000000"/>
                          <w:sz w:val="24"/>
                          <w:szCs w:val="24"/>
                        </w:rPr>
                        <w:t>. PRISMA flowchart outlining the process of article selection</w:t>
                      </w:r>
                    </w:p>
                  </w:txbxContent>
                </v:textbox>
                <w10:wrap anchorx="margin"/>
              </v:shape>
            </w:pict>
          </mc:Fallback>
        </mc:AlternateContent>
      </w:r>
    </w:p>
    <w:p w14:paraId="3A83B62E" w14:textId="77777777" w:rsidR="00850048" w:rsidRDefault="00850048" w:rsidP="00EC4C39">
      <w:pPr>
        <w:tabs>
          <w:tab w:val="left" w:pos="284"/>
        </w:tabs>
        <w:ind w:firstLine="0"/>
        <w:jc w:val="both"/>
        <w:rPr>
          <w:rFonts w:ascii="Garamond" w:eastAsia="Times New Roman" w:hAnsi="Garamond" w:cs="Times New Roman"/>
          <w:sz w:val="24"/>
          <w:szCs w:val="24"/>
          <w:lang w:val="en-ID" w:eastAsia="en-ID"/>
        </w:rPr>
      </w:pPr>
    </w:p>
    <w:p w14:paraId="61062EA8" w14:textId="23851CB2" w:rsidR="00850048" w:rsidRPr="005E3BCD" w:rsidRDefault="00850048" w:rsidP="00EC4C39">
      <w:pPr>
        <w:tabs>
          <w:tab w:val="left" w:pos="284"/>
        </w:tabs>
        <w:ind w:firstLine="0"/>
        <w:jc w:val="both"/>
        <w:rPr>
          <w:rFonts w:ascii="Garamond" w:eastAsia="Times New Roman" w:hAnsi="Garamond" w:cs="Times New Roman"/>
          <w:sz w:val="24"/>
          <w:szCs w:val="24"/>
          <w:lang w:val="en-ID" w:eastAsia="en-ID"/>
        </w:rPr>
        <w:sectPr w:rsidR="00850048" w:rsidRPr="005E3BCD" w:rsidSect="00EC4C39">
          <w:footerReference w:type="default" r:id="rId14"/>
          <w:pgSz w:w="11906" w:h="16838" w:code="9"/>
          <w:pgMar w:top="1134" w:right="1134" w:bottom="1134" w:left="1134" w:header="709" w:footer="709" w:gutter="0"/>
          <w:cols w:space="708"/>
          <w:docGrid w:linePitch="360"/>
        </w:sectPr>
      </w:pPr>
    </w:p>
    <w:p w14:paraId="4538BC32" w14:textId="72C0AE42" w:rsidR="00A64B54" w:rsidRPr="005E3BCD" w:rsidRDefault="00850048" w:rsidP="00EC4C39">
      <w:pPr>
        <w:tabs>
          <w:tab w:val="left" w:pos="426"/>
        </w:tabs>
        <w:ind w:firstLine="0"/>
        <w:jc w:val="both"/>
        <w:rPr>
          <w:rFonts w:ascii="Garamond" w:eastAsia="Times New Roman" w:hAnsi="Garamond" w:cs="Times New Roman"/>
          <w:sz w:val="24"/>
          <w:szCs w:val="24"/>
          <w:lang w:val="en-ID" w:eastAsia="en-ID"/>
        </w:rPr>
      </w:pPr>
      <w:r w:rsidRPr="005E3BCD">
        <w:rPr>
          <w:rFonts w:ascii="Garamond" w:eastAsia="Times New Roman" w:hAnsi="Garamond" w:cs="Times New Roman"/>
          <w:noProof/>
          <w:sz w:val="24"/>
          <w:szCs w:val="24"/>
          <w:lang w:val="en-ID" w:eastAsia="en-ID"/>
        </w:rPr>
        <w:lastRenderedPageBreak/>
        <w:drawing>
          <wp:anchor distT="0" distB="0" distL="114300" distR="114300" simplePos="0" relativeHeight="251657728" behindDoc="0" locked="0" layoutInCell="1" allowOverlap="1" wp14:anchorId="33F3EC39" wp14:editId="17C2F0D0">
            <wp:simplePos x="0" y="0"/>
            <wp:positionH relativeFrom="margin">
              <wp:posOffset>1277620</wp:posOffset>
            </wp:positionH>
            <wp:positionV relativeFrom="paragraph">
              <wp:posOffset>111125</wp:posOffset>
            </wp:positionV>
            <wp:extent cx="3115733" cy="3524771"/>
            <wp:effectExtent l="0" t="0" r="8890" b="0"/>
            <wp:wrapNone/>
            <wp:docPr id="563915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15751" name=""/>
                    <pic:cNvPicPr/>
                  </pic:nvPicPr>
                  <pic:blipFill>
                    <a:blip r:embed="rId15">
                      <a:extLst>
                        <a:ext uri="{28A0092B-C50C-407E-A947-70E740481C1C}">
                          <a14:useLocalDpi xmlns:a14="http://schemas.microsoft.com/office/drawing/2010/main" val="0"/>
                        </a:ext>
                      </a:extLst>
                    </a:blip>
                    <a:stretch>
                      <a:fillRect/>
                    </a:stretch>
                  </pic:blipFill>
                  <pic:spPr>
                    <a:xfrm>
                      <a:off x="0" y="0"/>
                      <a:ext cx="3115733" cy="3524771"/>
                    </a:xfrm>
                    <a:prstGeom prst="rect">
                      <a:avLst/>
                    </a:prstGeom>
                  </pic:spPr>
                </pic:pic>
              </a:graphicData>
            </a:graphic>
            <wp14:sizeRelH relativeFrom="page">
              <wp14:pctWidth>0</wp14:pctWidth>
            </wp14:sizeRelH>
            <wp14:sizeRelV relativeFrom="page">
              <wp14:pctHeight>0</wp14:pctHeight>
            </wp14:sizeRelV>
          </wp:anchor>
        </w:drawing>
      </w:r>
    </w:p>
    <w:p w14:paraId="2C98A9D9" w14:textId="77777777" w:rsidR="00A64B54" w:rsidRPr="005E3BCD" w:rsidRDefault="00A64B54" w:rsidP="00EC4C39">
      <w:pPr>
        <w:tabs>
          <w:tab w:val="left" w:pos="426"/>
        </w:tabs>
        <w:ind w:firstLine="0"/>
        <w:jc w:val="both"/>
        <w:rPr>
          <w:rFonts w:ascii="Garamond" w:eastAsia="Times New Roman" w:hAnsi="Garamond" w:cs="Times New Roman"/>
          <w:b/>
          <w:bCs/>
          <w:sz w:val="28"/>
          <w:szCs w:val="28"/>
          <w:lang w:val="en-ID" w:eastAsia="en-ID"/>
        </w:rPr>
      </w:pPr>
    </w:p>
    <w:p w14:paraId="77B8C1F2" w14:textId="567C1F11" w:rsidR="00A64B54" w:rsidRPr="005E3BCD" w:rsidRDefault="00A64B54" w:rsidP="00EC4C39">
      <w:pPr>
        <w:tabs>
          <w:tab w:val="left" w:pos="426"/>
        </w:tabs>
        <w:ind w:left="-76" w:firstLine="0"/>
        <w:jc w:val="both"/>
        <w:rPr>
          <w:rFonts w:ascii="Garamond" w:eastAsia="Times New Roman" w:hAnsi="Garamond" w:cs="Times New Roman"/>
          <w:b/>
          <w:bCs/>
          <w:sz w:val="28"/>
          <w:szCs w:val="28"/>
          <w:lang w:val="en-ID" w:eastAsia="en-ID"/>
        </w:rPr>
      </w:pPr>
    </w:p>
    <w:p w14:paraId="05F55222" w14:textId="77777777" w:rsidR="00A64B54" w:rsidRPr="005E3BCD" w:rsidRDefault="00A64B54" w:rsidP="00EC4C39">
      <w:pPr>
        <w:ind w:firstLine="0"/>
        <w:rPr>
          <w:rFonts w:ascii="Garamond" w:hAnsi="Garamond" w:cs="Arial"/>
          <w:b/>
          <w:kern w:val="2"/>
          <w:sz w:val="22"/>
          <w:szCs w:val="22"/>
          <w:lang w:val="en-ID"/>
          <w14:ligatures w14:val="standardContextual"/>
        </w:rPr>
      </w:pPr>
    </w:p>
    <w:p w14:paraId="2F5CA783" w14:textId="77777777" w:rsidR="00A64B54" w:rsidRPr="005E3BCD" w:rsidRDefault="00A64B54" w:rsidP="00EC4C39">
      <w:pPr>
        <w:ind w:firstLine="0"/>
        <w:rPr>
          <w:rFonts w:ascii="Garamond" w:hAnsi="Garamond" w:cs="Arial"/>
          <w:b/>
          <w:kern w:val="2"/>
          <w:sz w:val="22"/>
          <w:szCs w:val="22"/>
          <w:lang w:val="en-ID"/>
          <w14:ligatures w14:val="standardContextual"/>
        </w:rPr>
      </w:pPr>
    </w:p>
    <w:p w14:paraId="1093192B" w14:textId="77777777" w:rsidR="00A64B54" w:rsidRPr="005E3BCD" w:rsidRDefault="00A64B54" w:rsidP="00EC4C39">
      <w:pPr>
        <w:ind w:firstLine="0"/>
        <w:rPr>
          <w:rFonts w:ascii="Garamond" w:hAnsi="Garamond" w:cs="Arial"/>
          <w:kern w:val="2"/>
          <w:sz w:val="22"/>
          <w:szCs w:val="22"/>
          <w:lang w:val="en-ID"/>
          <w14:ligatures w14:val="standardContextual"/>
        </w:rPr>
      </w:pPr>
    </w:p>
    <w:p w14:paraId="76395285" w14:textId="77777777" w:rsidR="00A64B54" w:rsidRPr="005E3BCD" w:rsidRDefault="00A64B54" w:rsidP="00EC4C39">
      <w:pPr>
        <w:ind w:firstLine="0"/>
        <w:rPr>
          <w:rFonts w:ascii="Garamond" w:hAnsi="Garamond" w:cs="Arial"/>
          <w:kern w:val="2"/>
          <w:sz w:val="22"/>
          <w:szCs w:val="22"/>
          <w:lang w:val="en-ID"/>
          <w14:ligatures w14:val="standardContextual"/>
        </w:rPr>
      </w:pPr>
    </w:p>
    <w:p w14:paraId="101FB899" w14:textId="77777777" w:rsidR="00A64B54" w:rsidRPr="005E3BCD" w:rsidRDefault="00A64B54" w:rsidP="00EC4C39">
      <w:pPr>
        <w:ind w:firstLine="0"/>
        <w:rPr>
          <w:rFonts w:ascii="Garamond" w:hAnsi="Garamond" w:cs="Arial"/>
          <w:kern w:val="2"/>
          <w:sz w:val="22"/>
          <w:szCs w:val="22"/>
          <w:lang w:val="en-ID"/>
          <w14:ligatures w14:val="standardContextual"/>
        </w:rPr>
      </w:pPr>
    </w:p>
    <w:p w14:paraId="2BF977DC" w14:textId="77777777" w:rsidR="00A64B54" w:rsidRPr="005E3BCD" w:rsidRDefault="00A64B54" w:rsidP="00EC4C39">
      <w:pPr>
        <w:ind w:firstLine="0"/>
        <w:rPr>
          <w:rFonts w:ascii="Garamond" w:hAnsi="Garamond" w:cs="Arial"/>
          <w:kern w:val="2"/>
          <w:sz w:val="22"/>
          <w:szCs w:val="22"/>
          <w:lang w:val="en-ID"/>
          <w14:ligatures w14:val="standardContextual"/>
        </w:rPr>
      </w:pPr>
    </w:p>
    <w:p w14:paraId="1C780831" w14:textId="77777777" w:rsidR="00A64B54" w:rsidRPr="005E3BCD" w:rsidRDefault="00A64B54" w:rsidP="00EC4C39">
      <w:pPr>
        <w:ind w:firstLine="0"/>
        <w:rPr>
          <w:rFonts w:ascii="Garamond" w:hAnsi="Garamond" w:cs="Arial"/>
          <w:kern w:val="2"/>
          <w:sz w:val="22"/>
          <w:szCs w:val="22"/>
          <w:lang w:val="en-ID"/>
          <w14:ligatures w14:val="standardContextual"/>
        </w:rPr>
      </w:pPr>
    </w:p>
    <w:p w14:paraId="43DF0E67" w14:textId="77777777" w:rsidR="00A64B54" w:rsidRPr="005E3BCD" w:rsidRDefault="00A64B54" w:rsidP="00EC4C39">
      <w:pPr>
        <w:ind w:firstLine="0"/>
        <w:rPr>
          <w:rFonts w:ascii="Garamond" w:hAnsi="Garamond" w:cs="Arial"/>
          <w:kern w:val="2"/>
          <w:sz w:val="22"/>
          <w:szCs w:val="22"/>
          <w:lang w:val="en-ID"/>
          <w14:ligatures w14:val="standardContextual"/>
        </w:rPr>
      </w:pPr>
    </w:p>
    <w:p w14:paraId="5F384DA6" w14:textId="77777777" w:rsidR="00A64B54" w:rsidRPr="005E3BCD" w:rsidRDefault="00A64B54" w:rsidP="00EC4C39">
      <w:pPr>
        <w:ind w:firstLine="0"/>
        <w:rPr>
          <w:rFonts w:ascii="Garamond" w:hAnsi="Garamond" w:cs="Arial"/>
          <w:kern w:val="2"/>
          <w:sz w:val="22"/>
          <w:szCs w:val="22"/>
          <w:lang w:val="en-ID"/>
          <w14:ligatures w14:val="standardContextual"/>
        </w:rPr>
      </w:pPr>
    </w:p>
    <w:p w14:paraId="0E07B70B" w14:textId="77777777" w:rsidR="00A64B54" w:rsidRPr="005E3BCD" w:rsidRDefault="00A64B54" w:rsidP="00EC4C39">
      <w:pPr>
        <w:ind w:firstLine="0"/>
        <w:rPr>
          <w:rFonts w:ascii="Garamond" w:hAnsi="Garamond" w:cs="Arial"/>
          <w:kern w:val="2"/>
          <w:sz w:val="22"/>
          <w:szCs w:val="22"/>
          <w:lang w:val="en-ID"/>
          <w14:ligatures w14:val="standardContextual"/>
        </w:rPr>
      </w:pPr>
    </w:p>
    <w:p w14:paraId="5905DD63" w14:textId="7B584271" w:rsidR="00A64B54" w:rsidRPr="005E3BCD" w:rsidRDefault="00A64B54" w:rsidP="00EC4C39">
      <w:pPr>
        <w:ind w:firstLine="0"/>
        <w:rPr>
          <w:rFonts w:ascii="Garamond" w:hAnsi="Garamond" w:cs="Arial"/>
          <w:kern w:val="2"/>
          <w:sz w:val="22"/>
          <w:szCs w:val="22"/>
          <w:lang w:val="en-ID"/>
          <w14:ligatures w14:val="standardContextual"/>
        </w:rPr>
      </w:pPr>
    </w:p>
    <w:p w14:paraId="510B083D" w14:textId="77777777" w:rsidR="00A64B54" w:rsidRPr="005E3BCD" w:rsidRDefault="00A64B54" w:rsidP="00EC4C39">
      <w:pPr>
        <w:ind w:firstLine="0"/>
        <w:rPr>
          <w:rFonts w:ascii="Garamond" w:hAnsi="Garamond" w:cs="Arial"/>
          <w:kern w:val="2"/>
          <w:sz w:val="22"/>
          <w:szCs w:val="22"/>
          <w:lang w:val="en-ID"/>
          <w14:ligatures w14:val="standardContextual"/>
        </w:rPr>
      </w:pPr>
    </w:p>
    <w:p w14:paraId="2F47EDDE" w14:textId="77777777" w:rsidR="00A64B54" w:rsidRPr="005E3BCD" w:rsidRDefault="00A64B54" w:rsidP="00EC4C39">
      <w:pPr>
        <w:ind w:firstLine="0"/>
        <w:rPr>
          <w:rFonts w:ascii="Garamond" w:hAnsi="Garamond" w:cs="Arial"/>
          <w:kern w:val="2"/>
          <w:sz w:val="22"/>
          <w:szCs w:val="22"/>
          <w:lang w:val="en-ID"/>
          <w14:ligatures w14:val="standardContextual"/>
        </w:rPr>
      </w:pPr>
    </w:p>
    <w:p w14:paraId="2ADF6B71" w14:textId="77777777" w:rsidR="00850048" w:rsidRDefault="00850048">
      <w:pPr>
        <w:rPr>
          <w:rFonts w:ascii="Garamond" w:hAnsi="Garamond" w:cs="Times New Roman"/>
          <w:b/>
          <w:bCs/>
          <w:color w:val="000000"/>
          <w:kern w:val="2"/>
          <w:sz w:val="24"/>
          <w:szCs w:val="24"/>
          <w:lang w:val="en-ID"/>
          <w14:ligatures w14:val="standardContextual"/>
        </w:rPr>
      </w:pPr>
      <w:r>
        <w:rPr>
          <w:rFonts w:ascii="Garamond" w:hAnsi="Garamond" w:cs="Times New Roman"/>
          <w:b/>
          <w:bCs/>
          <w:color w:val="000000"/>
          <w:kern w:val="2"/>
          <w:sz w:val="24"/>
          <w:szCs w:val="24"/>
          <w:lang w:val="en-ID"/>
          <w14:ligatures w14:val="standardContextual"/>
        </w:rPr>
        <w:br w:type="page"/>
      </w:r>
    </w:p>
    <w:p w14:paraId="757D3217" w14:textId="0D986821" w:rsidR="00A64B54" w:rsidRPr="00FA3CF6" w:rsidRDefault="00A64B54" w:rsidP="00EC4C39">
      <w:pPr>
        <w:keepNext/>
        <w:ind w:firstLine="0"/>
        <w:jc w:val="center"/>
        <w:rPr>
          <w:rFonts w:ascii="Garamond" w:hAnsi="Garamond" w:cs="Times New Roman"/>
          <w:b/>
          <w:bCs/>
          <w:color w:val="000000"/>
          <w:kern w:val="2"/>
          <w:sz w:val="24"/>
          <w:szCs w:val="24"/>
          <w:lang w:val="en-ID"/>
          <w14:ligatures w14:val="standardContextual"/>
        </w:rPr>
      </w:pPr>
      <w:r w:rsidRPr="00FA3CF6">
        <w:rPr>
          <w:rFonts w:ascii="Garamond" w:hAnsi="Garamond" w:cs="Times New Roman"/>
          <w:b/>
          <w:bCs/>
          <w:color w:val="000000"/>
          <w:kern w:val="2"/>
          <w:sz w:val="24"/>
          <w:szCs w:val="24"/>
          <w:lang w:val="en-ID"/>
          <w14:ligatures w14:val="standardContextual"/>
        </w:rPr>
        <w:lastRenderedPageBreak/>
        <w:t>Table</w:t>
      </w:r>
      <w:r w:rsidRPr="00FA3CF6">
        <w:rPr>
          <w:rFonts w:ascii="Garamond" w:hAnsi="Garamond" w:cs="Times New Roman"/>
          <w:b/>
          <w:bCs/>
          <w:color w:val="000000"/>
          <w:kern w:val="2"/>
          <w:sz w:val="24"/>
          <w:szCs w:val="24"/>
          <w:lang w:val="en-ID"/>
          <w14:ligatures w14:val="standardContextual"/>
        </w:rPr>
        <w:fldChar w:fldCharType="begin"/>
      </w:r>
      <w:r w:rsidRPr="00FA3CF6">
        <w:rPr>
          <w:rFonts w:ascii="Garamond" w:hAnsi="Garamond" w:cs="Times New Roman"/>
          <w:b/>
          <w:bCs/>
          <w:color w:val="000000"/>
          <w:kern w:val="2"/>
          <w:sz w:val="24"/>
          <w:szCs w:val="24"/>
          <w:lang w:val="en-ID"/>
          <w14:ligatures w14:val="standardContextual"/>
        </w:rPr>
        <w:instrText xml:space="preserve"> SEQ Table \* ARABIC </w:instrText>
      </w:r>
      <w:r w:rsidRPr="00FA3CF6">
        <w:rPr>
          <w:rFonts w:ascii="Garamond" w:hAnsi="Garamond" w:cs="Times New Roman"/>
          <w:b/>
          <w:bCs/>
          <w:color w:val="000000"/>
          <w:kern w:val="2"/>
          <w:sz w:val="24"/>
          <w:szCs w:val="24"/>
          <w:lang w:val="en-ID"/>
          <w14:ligatures w14:val="standardContextual"/>
        </w:rPr>
        <w:fldChar w:fldCharType="separate"/>
      </w:r>
      <w:r w:rsidRPr="00FA3CF6">
        <w:rPr>
          <w:rFonts w:ascii="Garamond" w:hAnsi="Garamond" w:cs="Times New Roman"/>
          <w:b/>
          <w:bCs/>
          <w:noProof/>
          <w:color w:val="000000"/>
          <w:kern w:val="2"/>
          <w:sz w:val="24"/>
          <w:szCs w:val="24"/>
          <w:lang w:val="en-ID"/>
          <w14:ligatures w14:val="standardContextual"/>
        </w:rPr>
        <w:t>1</w:t>
      </w:r>
      <w:r w:rsidRPr="00FA3CF6">
        <w:rPr>
          <w:rFonts w:ascii="Garamond" w:hAnsi="Garamond" w:cs="Times New Roman"/>
          <w:b/>
          <w:bCs/>
          <w:color w:val="000000"/>
          <w:kern w:val="2"/>
          <w:sz w:val="24"/>
          <w:szCs w:val="24"/>
          <w:lang w:val="en-ID"/>
          <w14:ligatures w14:val="standardContextual"/>
        </w:rPr>
        <w:fldChar w:fldCharType="end"/>
      </w:r>
      <w:r w:rsidRPr="00FA3CF6">
        <w:rPr>
          <w:rFonts w:ascii="Garamond" w:hAnsi="Garamond" w:cs="Times New Roman"/>
          <w:b/>
          <w:bCs/>
          <w:color w:val="000000"/>
          <w:kern w:val="2"/>
          <w:sz w:val="24"/>
          <w:szCs w:val="24"/>
          <w:lang w:val="en-ID"/>
          <w14:ligatures w14:val="standardContextual"/>
        </w:rPr>
        <w:t>. Search strategy applied in searching for evidence in the four electronic databases.</w:t>
      </w:r>
    </w:p>
    <w:tbl>
      <w:tblPr>
        <w:tblStyle w:val="PlainTable21"/>
        <w:tblpPr w:leftFromText="180" w:rightFromText="180" w:vertAnchor="text" w:horzAnchor="margin" w:tblpXSpec="center" w:tblpY="83"/>
        <w:tblW w:w="0" w:type="auto"/>
        <w:tblLook w:val="04A0" w:firstRow="1" w:lastRow="0" w:firstColumn="1" w:lastColumn="0" w:noHBand="0" w:noVBand="1"/>
      </w:tblPr>
      <w:tblGrid>
        <w:gridCol w:w="1701"/>
        <w:gridCol w:w="4253"/>
        <w:gridCol w:w="992"/>
        <w:gridCol w:w="2070"/>
      </w:tblGrid>
      <w:tr w:rsidR="00A64B54" w:rsidRPr="00FA3CF6" w14:paraId="34D3EEDF" w14:textId="77777777" w:rsidTr="0085004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1" w:type="dxa"/>
          </w:tcPr>
          <w:p w14:paraId="5EF79164" w14:textId="77777777" w:rsidR="00A64B54" w:rsidRPr="00FA3CF6" w:rsidRDefault="00A64B54" w:rsidP="00850048">
            <w:pPr>
              <w:jc w:val="center"/>
              <w:rPr>
                <w:rFonts w:ascii="Garamond" w:hAnsi="Garamond" w:cs="Times New Roman"/>
                <w:sz w:val="24"/>
                <w:szCs w:val="24"/>
                <w:lang w:val="nn-NO" w:eastAsia="en-ID"/>
              </w:rPr>
            </w:pPr>
            <w:r w:rsidRPr="00FA3CF6">
              <w:rPr>
                <w:rFonts w:ascii="Garamond" w:hAnsi="Garamond" w:cs="Times New Roman"/>
                <w:sz w:val="24"/>
                <w:szCs w:val="24"/>
                <w:lang w:val="nn-NO" w:eastAsia="en-ID"/>
              </w:rPr>
              <w:t>Database</w:t>
            </w:r>
          </w:p>
        </w:tc>
        <w:tc>
          <w:tcPr>
            <w:tcW w:w="4253" w:type="dxa"/>
          </w:tcPr>
          <w:p w14:paraId="5A919F0A" w14:textId="77777777" w:rsidR="00A64B54" w:rsidRPr="00FA3CF6" w:rsidRDefault="00A64B54" w:rsidP="0085004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Search Strategy</w:t>
            </w:r>
          </w:p>
        </w:tc>
        <w:tc>
          <w:tcPr>
            <w:tcW w:w="992" w:type="dxa"/>
          </w:tcPr>
          <w:p w14:paraId="1F8F2A30" w14:textId="77777777" w:rsidR="00A64B54" w:rsidRPr="00FA3CF6" w:rsidRDefault="00A64B54" w:rsidP="0085004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Hits</w:t>
            </w:r>
          </w:p>
        </w:tc>
        <w:tc>
          <w:tcPr>
            <w:tcW w:w="2070" w:type="dxa"/>
          </w:tcPr>
          <w:p w14:paraId="525227F6" w14:textId="77777777" w:rsidR="00A64B54" w:rsidRPr="00FA3CF6" w:rsidRDefault="00A64B54" w:rsidP="0085004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Selected Articles</w:t>
            </w:r>
          </w:p>
        </w:tc>
      </w:tr>
      <w:tr w:rsidR="00A64B54" w:rsidRPr="00FA3CF6" w14:paraId="602B7743" w14:textId="77777777" w:rsidTr="00850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17FA712" w14:textId="77777777" w:rsidR="00A64B54" w:rsidRPr="00FA3CF6" w:rsidRDefault="00A64B54" w:rsidP="00EC4C39">
            <w:pPr>
              <w:rPr>
                <w:rFonts w:ascii="Garamond" w:hAnsi="Garamond" w:cs="Times New Roman"/>
                <w:sz w:val="24"/>
                <w:szCs w:val="24"/>
                <w:lang w:val="nn-NO" w:eastAsia="en-ID"/>
              </w:rPr>
            </w:pPr>
            <w:r w:rsidRPr="00FA3CF6">
              <w:rPr>
                <w:rFonts w:ascii="Garamond" w:hAnsi="Garamond" w:cs="Times New Roman"/>
                <w:sz w:val="24"/>
                <w:szCs w:val="24"/>
                <w:lang w:val="nn-NO" w:eastAsia="en-ID"/>
              </w:rPr>
              <w:t>PubMed NCBI</w:t>
            </w:r>
          </w:p>
        </w:tc>
        <w:tc>
          <w:tcPr>
            <w:tcW w:w="4253" w:type="dxa"/>
          </w:tcPr>
          <w:p w14:paraId="59393102" w14:textId="77777777" w:rsidR="00A64B54" w:rsidRPr="00FA3CF6" w:rsidRDefault="00A64B54" w:rsidP="00EC4C39">
            <w:pPr>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("GI cancer" OR "pancreatic cancer" OR "colorectal cancer") AND (exercis* OR training) AND (survival OR QoL) AND RCT</w:t>
            </w:r>
          </w:p>
        </w:tc>
        <w:tc>
          <w:tcPr>
            <w:tcW w:w="992" w:type="dxa"/>
          </w:tcPr>
          <w:p w14:paraId="021A00E8" w14:textId="77777777" w:rsidR="00A64B54" w:rsidRPr="00FA3CF6" w:rsidRDefault="00A64B54" w:rsidP="00EC4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7</w:t>
            </w:r>
          </w:p>
        </w:tc>
        <w:tc>
          <w:tcPr>
            <w:tcW w:w="2070" w:type="dxa"/>
          </w:tcPr>
          <w:p w14:paraId="3AA17C54" w14:textId="77777777" w:rsidR="00A64B54" w:rsidRPr="00FA3CF6" w:rsidRDefault="00A64B54" w:rsidP="00EC4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0</w:t>
            </w:r>
          </w:p>
        </w:tc>
      </w:tr>
      <w:tr w:rsidR="00A64B54" w:rsidRPr="00FA3CF6" w14:paraId="2D8369E5" w14:textId="77777777" w:rsidTr="00850048">
        <w:tc>
          <w:tcPr>
            <w:cnfStyle w:val="001000000000" w:firstRow="0" w:lastRow="0" w:firstColumn="1" w:lastColumn="0" w:oddVBand="0" w:evenVBand="0" w:oddHBand="0" w:evenHBand="0" w:firstRowFirstColumn="0" w:firstRowLastColumn="0" w:lastRowFirstColumn="0" w:lastRowLastColumn="0"/>
            <w:tcW w:w="1701" w:type="dxa"/>
          </w:tcPr>
          <w:p w14:paraId="7E8B2086" w14:textId="77777777" w:rsidR="00A64B54" w:rsidRPr="00FA3CF6" w:rsidRDefault="00A64B54" w:rsidP="00EC4C39">
            <w:pPr>
              <w:rPr>
                <w:rFonts w:ascii="Garamond" w:hAnsi="Garamond" w:cs="Times New Roman"/>
                <w:sz w:val="24"/>
                <w:szCs w:val="24"/>
                <w:lang w:eastAsia="en-ID"/>
              </w:rPr>
            </w:pPr>
            <w:r w:rsidRPr="00FA3CF6">
              <w:rPr>
                <w:rFonts w:ascii="Garamond" w:hAnsi="Garamond" w:cs="Times New Roman"/>
                <w:sz w:val="24"/>
                <w:szCs w:val="24"/>
                <w:lang w:eastAsia="en-ID"/>
              </w:rPr>
              <w:t>Cochrane</w:t>
            </w:r>
          </w:p>
        </w:tc>
        <w:tc>
          <w:tcPr>
            <w:tcW w:w="4253" w:type="dxa"/>
          </w:tcPr>
          <w:p w14:paraId="3A6BB70E" w14:textId="77777777" w:rsidR="00A64B54" w:rsidRPr="00FA3CF6" w:rsidRDefault="00A64B54" w:rsidP="00EC4C39">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(cachexia* OR sarcopenia OR "wasting syndrome") AND ("GI cancer" OR "colorectal cancer" OR "pancreatic cancer" OR "gastric cancer") AND (advanced OR metastatic OR "stage IV") AND (exercis* OR training OR "physical activity" OR aerobic* OR resistance*) AND (survival OR "overall survival" OR OS OR prognosis) AND (randomized controlled trial OR controlled clinical trial OR RCT OR randomi*ed)</w:t>
            </w:r>
          </w:p>
        </w:tc>
        <w:tc>
          <w:tcPr>
            <w:tcW w:w="992" w:type="dxa"/>
          </w:tcPr>
          <w:p w14:paraId="515A7006" w14:textId="77777777" w:rsidR="00A64B54" w:rsidRPr="00FA3CF6" w:rsidRDefault="00A64B54" w:rsidP="00EC4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14</w:t>
            </w:r>
          </w:p>
        </w:tc>
        <w:tc>
          <w:tcPr>
            <w:tcW w:w="2070" w:type="dxa"/>
          </w:tcPr>
          <w:p w14:paraId="15886B27" w14:textId="77777777" w:rsidR="00A64B54" w:rsidRPr="00FA3CF6" w:rsidRDefault="00A64B54" w:rsidP="00EC4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2</w:t>
            </w:r>
          </w:p>
        </w:tc>
      </w:tr>
      <w:tr w:rsidR="00A64B54" w:rsidRPr="00FA3CF6" w14:paraId="0F7E3EB3" w14:textId="77777777" w:rsidTr="00850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5824EE9" w14:textId="77777777" w:rsidR="00A64B54" w:rsidRPr="00FA3CF6" w:rsidRDefault="00A64B54" w:rsidP="00EC4C39">
            <w:pPr>
              <w:rPr>
                <w:rFonts w:ascii="Garamond" w:hAnsi="Garamond" w:cs="Times New Roman"/>
                <w:sz w:val="24"/>
                <w:szCs w:val="24"/>
                <w:lang w:eastAsia="en-ID"/>
              </w:rPr>
            </w:pPr>
            <w:r w:rsidRPr="00FA3CF6">
              <w:rPr>
                <w:rFonts w:ascii="Garamond" w:hAnsi="Garamond" w:cs="Times New Roman"/>
                <w:sz w:val="24"/>
                <w:szCs w:val="24"/>
                <w:lang w:eastAsia="en-ID"/>
              </w:rPr>
              <w:t>Google Scholar</w:t>
            </w:r>
          </w:p>
        </w:tc>
        <w:tc>
          <w:tcPr>
            <w:tcW w:w="4253" w:type="dxa"/>
          </w:tcPr>
          <w:p w14:paraId="1319F685" w14:textId="77777777" w:rsidR="00A64B54" w:rsidRPr="00FA3CF6" w:rsidRDefault="00A64B54" w:rsidP="00EC4C39">
            <w:pPr>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"cachexia" OR "sarcopenia" OR "advanced GI cancer" AND "exercise training" OR "physical activity" OR "resistance training" AND "overall survival" OR "OS" AND "randomized controlled trial" OR "RCT"</w:t>
            </w:r>
          </w:p>
        </w:tc>
        <w:tc>
          <w:tcPr>
            <w:tcW w:w="992" w:type="dxa"/>
          </w:tcPr>
          <w:p w14:paraId="661316CB" w14:textId="77777777" w:rsidR="00A64B54" w:rsidRPr="00FA3CF6" w:rsidRDefault="00A64B54" w:rsidP="00EC4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2400</w:t>
            </w:r>
          </w:p>
        </w:tc>
        <w:tc>
          <w:tcPr>
            <w:tcW w:w="2070" w:type="dxa"/>
          </w:tcPr>
          <w:p w14:paraId="055E58B8" w14:textId="77777777" w:rsidR="00A64B54" w:rsidRPr="00FA3CF6" w:rsidRDefault="00A64B54" w:rsidP="00EC4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1</w:t>
            </w:r>
          </w:p>
        </w:tc>
      </w:tr>
    </w:tbl>
    <w:p w14:paraId="793800D0" w14:textId="77777777" w:rsidR="00A64B54" w:rsidRPr="00FA3CF6" w:rsidRDefault="00A64B54" w:rsidP="00EC4C39">
      <w:pPr>
        <w:tabs>
          <w:tab w:val="left" w:pos="4020"/>
        </w:tabs>
        <w:ind w:firstLine="0"/>
        <w:rPr>
          <w:rFonts w:ascii="Garamond" w:hAnsi="Garamond" w:cs="Arial"/>
          <w:kern w:val="2"/>
          <w:sz w:val="24"/>
          <w:szCs w:val="24"/>
          <w:lang w:val="en-ID"/>
          <w14:ligatures w14:val="standardContextual"/>
        </w:rPr>
      </w:pPr>
    </w:p>
    <w:p w14:paraId="748416B5" w14:textId="77777777" w:rsidR="00A64B54" w:rsidRPr="00FA3CF6" w:rsidRDefault="00A64B54" w:rsidP="00EC4C39">
      <w:pPr>
        <w:keepNext/>
        <w:ind w:firstLine="0"/>
        <w:jc w:val="center"/>
        <w:rPr>
          <w:rFonts w:ascii="Garamond" w:hAnsi="Garamond" w:cs="Times New Roman"/>
          <w:b/>
          <w:bCs/>
          <w:color w:val="000000"/>
          <w:kern w:val="2"/>
          <w:sz w:val="24"/>
          <w:szCs w:val="24"/>
          <w:lang w:val="en-ID"/>
          <w14:ligatures w14:val="standardContextual"/>
        </w:rPr>
      </w:pPr>
      <w:r w:rsidRPr="00FA3CF6">
        <w:rPr>
          <w:rFonts w:ascii="Garamond" w:hAnsi="Garamond" w:cs="Times New Roman"/>
          <w:b/>
          <w:bCs/>
          <w:color w:val="000000"/>
          <w:kern w:val="2"/>
          <w:sz w:val="24"/>
          <w:szCs w:val="24"/>
          <w:lang w:val="en-ID"/>
          <w14:ligatures w14:val="standardContextual"/>
        </w:rPr>
        <w:t>Table</w:t>
      </w:r>
      <w:r w:rsidRPr="00FA3CF6">
        <w:rPr>
          <w:rFonts w:ascii="Garamond" w:hAnsi="Garamond" w:cs="Times New Roman"/>
          <w:b/>
          <w:bCs/>
          <w:color w:val="000000"/>
          <w:kern w:val="2"/>
          <w:sz w:val="24"/>
          <w:szCs w:val="24"/>
          <w:lang w:val="en-ID"/>
          <w14:ligatures w14:val="standardContextual"/>
        </w:rPr>
        <w:fldChar w:fldCharType="begin"/>
      </w:r>
      <w:r w:rsidRPr="00FA3CF6">
        <w:rPr>
          <w:rFonts w:ascii="Garamond" w:hAnsi="Garamond" w:cs="Times New Roman"/>
          <w:b/>
          <w:bCs/>
          <w:color w:val="000000"/>
          <w:kern w:val="2"/>
          <w:sz w:val="24"/>
          <w:szCs w:val="24"/>
          <w:lang w:val="en-ID"/>
          <w14:ligatures w14:val="standardContextual"/>
        </w:rPr>
        <w:instrText xml:space="preserve"> SEQ Table \* ARABIC </w:instrText>
      </w:r>
      <w:r w:rsidRPr="00FA3CF6">
        <w:rPr>
          <w:rFonts w:ascii="Garamond" w:hAnsi="Garamond" w:cs="Times New Roman"/>
          <w:b/>
          <w:bCs/>
          <w:color w:val="000000"/>
          <w:kern w:val="2"/>
          <w:sz w:val="24"/>
          <w:szCs w:val="24"/>
          <w:lang w:val="en-ID"/>
          <w14:ligatures w14:val="standardContextual"/>
        </w:rPr>
        <w:fldChar w:fldCharType="separate"/>
      </w:r>
      <w:r w:rsidRPr="00FA3CF6">
        <w:rPr>
          <w:rFonts w:ascii="Garamond" w:hAnsi="Garamond" w:cs="Times New Roman"/>
          <w:b/>
          <w:bCs/>
          <w:noProof/>
          <w:color w:val="000000"/>
          <w:kern w:val="2"/>
          <w:sz w:val="24"/>
          <w:szCs w:val="24"/>
          <w:lang w:val="en-ID"/>
          <w14:ligatures w14:val="standardContextual"/>
        </w:rPr>
        <w:t>2</w:t>
      </w:r>
      <w:r w:rsidRPr="00FA3CF6">
        <w:rPr>
          <w:rFonts w:ascii="Garamond" w:hAnsi="Garamond" w:cs="Times New Roman"/>
          <w:b/>
          <w:bCs/>
          <w:color w:val="000000"/>
          <w:kern w:val="2"/>
          <w:sz w:val="24"/>
          <w:szCs w:val="24"/>
          <w:lang w:val="en-ID"/>
          <w14:ligatures w14:val="standardContextual"/>
        </w:rPr>
        <w:fldChar w:fldCharType="end"/>
      </w:r>
      <w:r w:rsidRPr="00FA3CF6">
        <w:rPr>
          <w:rFonts w:ascii="Garamond" w:hAnsi="Garamond" w:cs="Times New Roman"/>
          <w:b/>
          <w:bCs/>
          <w:color w:val="000000"/>
          <w:kern w:val="2"/>
          <w:sz w:val="24"/>
          <w:szCs w:val="24"/>
          <w:lang w:val="en-ID"/>
          <w14:ligatures w14:val="standardContextual"/>
        </w:rPr>
        <w:t>: Critical Appraisal and Methodological Characteristics of Included RCT Protocols.</w:t>
      </w:r>
    </w:p>
    <w:tbl>
      <w:tblPr>
        <w:tblStyle w:val="PlainTable21"/>
        <w:tblW w:w="0" w:type="auto"/>
        <w:jc w:val="center"/>
        <w:tblLook w:val="04A0" w:firstRow="1" w:lastRow="0" w:firstColumn="1" w:lastColumn="0" w:noHBand="0" w:noVBand="1"/>
      </w:tblPr>
      <w:tblGrid>
        <w:gridCol w:w="1729"/>
        <w:gridCol w:w="1908"/>
        <w:gridCol w:w="2630"/>
        <w:gridCol w:w="2269"/>
      </w:tblGrid>
      <w:tr w:rsidR="00A64B54" w:rsidRPr="00FA3CF6" w14:paraId="6762F7B0" w14:textId="77777777" w:rsidTr="00850048">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489" w:type="dxa"/>
          </w:tcPr>
          <w:p w14:paraId="0A68145E"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val="nn-NO" w:eastAsia="en-ID"/>
              </w:rPr>
              <w:t>Characteristics</w:t>
            </w:r>
          </w:p>
        </w:tc>
        <w:tc>
          <w:tcPr>
            <w:tcW w:w="1908" w:type="dxa"/>
          </w:tcPr>
          <w:p w14:paraId="55E2224E" w14:textId="77777777" w:rsidR="00A64B54" w:rsidRPr="00FA3CF6" w:rsidRDefault="00A64B54" w:rsidP="00EC4C39">
            <w:pPr>
              <w:tabs>
                <w:tab w:val="left" w:pos="1704"/>
              </w:tabs>
              <w:contextualSpacing/>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REVELIUM</w:t>
            </w:r>
          </w:p>
        </w:tc>
        <w:tc>
          <w:tcPr>
            <w:tcW w:w="2630" w:type="dxa"/>
          </w:tcPr>
          <w:p w14:paraId="5F4AE11A" w14:textId="77777777" w:rsidR="00A64B54" w:rsidRPr="00FA3CF6" w:rsidRDefault="00A64B54" w:rsidP="00EC4C39">
            <w:pPr>
              <w:tabs>
                <w:tab w:val="left" w:pos="1704"/>
              </w:tabs>
              <w:contextualSpacing/>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BiCyCLE NMES</w:t>
            </w:r>
          </w:p>
        </w:tc>
        <w:tc>
          <w:tcPr>
            <w:tcW w:w="2269" w:type="dxa"/>
          </w:tcPr>
          <w:p w14:paraId="56AA8952" w14:textId="77777777" w:rsidR="00A64B54" w:rsidRPr="00FA3CF6" w:rsidRDefault="00A64B54" w:rsidP="00EC4C39">
            <w:pPr>
              <w:tabs>
                <w:tab w:val="left" w:pos="1704"/>
              </w:tabs>
              <w:contextualSpacing/>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REBUILD</w:t>
            </w:r>
          </w:p>
        </w:tc>
      </w:tr>
      <w:tr w:rsidR="00A64B54" w:rsidRPr="00FA3CF6" w14:paraId="0D7C1641" w14:textId="77777777" w:rsidTr="008500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9" w:type="dxa"/>
          </w:tcPr>
          <w:p w14:paraId="5AC5002A"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val="nn-NO" w:eastAsia="en-ID"/>
              </w:rPr>
              <w:t>Cancer Type</w:t>
            </w:r>
          </w:p>
        </w:tc>
        <w:tc>
          <w:tcPr>
            <w:tcW w:w="1908" w:type="dxa"/>
          </w:tcPr>
          <w:p w14:paraId="52A4344E"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eastAsia="en-ID"/>
              </w:rPr>
              <w:t>Advanced Pancreatic Cancer</w:t>
            </w:r>
          </w:p>
        </w:tc>
        <w:tc>
          <w:tcPr>
            <w:tcW w:w="2630" w:type="dxa"/>
          </w:tcPr>
          <w:p w14:paraId="00778781"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eastAsia="en-ID"/>
              </w:rPr>
              <w:t>Advanced Rectal Cancer (Perioperative)</w:t>
            </w:r>
          </w:p>
        </w:tc>
        <w:tc>
          <w:tcPr>
            <w:tcW w:w="2269" w:type="dxa"/>
          </w:tcPr>
          <w:p w14:paraId="04961A50"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Pancreatic Cancer (Undergoing Neoadjuvant Chemotherapy)</w:t>
            </w:r>
          </w:p>
        </w:tc>
      </w:tr>
      <w:tr w:rsidR="00A64B54" w:rsidRPr="00FA3CF6" w14:paraId="71BBDF6B" w14:textId="77777777" w:rsidTr="00850048">
        <w:trPr>
          <w:jc w:val="center"/>
        </w:trPr>
        <w:tc>
          <w:tcPr>
            <w:cnfStyle w:val="001000000000" w:firstRow="0" w:lastRow="0" w:firstColumn="1" w:lastColumn="0" w:oddVBand="0" w:evenVBand="0" w:oddHBand="0" w:evenHBand="0" w:firstRowFirstColumn="0" w:firstRowLastColumn="0" w:lastRowFirstColumn="0" w:lastRowLastColumn="0"/>
            <w:tcW w:w="1489" w:type="dxa"/>
          </w:tcPr>
          <w:p w14:paraId="6C6E7A82"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eastAsia="en-ID"/>
              </w:rPr>
              <w:t>Target Population &amp; Staging</w:t>
            </w:r>
          </w:p>
        </w:tc>
        <w:tc>
          <w:tcPr>
            <w:tcW w:w="1908" w:type="dxa"/>
          </w:tcPr>
          <w:p w14:paraId="655EC551"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Advanced Pancreatic Cancer Patients with Cachexia (Multimodal Supportive Care)</w:t>
            </w:r>
          </w:p>
        </w:tc>
        <w:tc>
          <w:tcPr>
            <w:tcW w:w="2630" w:type="dxa"/>
          </w:tcPr>
          <w:p w14:paraId="7FC49CA6"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Patients with Sarcopenia/Myosteatosis in pre- and post-operative settings.</w:t>
            </w:r>
          </w:p>
        </w:tc>
        <w:tc>
          <w:tcPr>
            <w:tcW w:w="2269" w:type="dxa"/>
          </w:tcPr>
          <w:p w14:paraId="34BA7F8C"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eastAsia="en-ID"/>
              </w:rPr>
              <w:t>Sarcopenic/Cachectic Patients</w:t>
            </w:r>
          </w:p>
        </w:tc>
      </w:tr>
      <w:tr w:rsidR="00A64B54" w:rsidRPr="00FA3CF6" w14:paraId="661DAC70" w14:textId="77777777" w:rsidTr="008500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9" w:type="dxa"/>
          </w:tcPr>
          <w:p w14:paraId="4F77099A"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eastAsia="en-ID"/>
              </w:rPr>
              <w:t>N (Planned Sample Size)</w:t>
            </w:r>
          </w:p>
        </w:tc>
        <w:tc>
          <w:tcPr>
            <w:tcW w:w="1908" w:type="dxa"/>
          </w:tcPr>
          <w:p w14:paraId="24B82AFE"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N = 200</w:t>
            </w:r>
          </w:p>
        </w:tc>
        <w:tc>
          <w:tcPr>
            <w:tcW w:w="2630" w:type="dxa"/>
          </w:tcPr>
          <w:p w14:paraId="48562824"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N = 120</w:t>
            </w:r>
          </w:p>
        </w:tc>
        <w:tc>
          <w:tcPr>
            <w:tcW w:w="2269" w:type="dxa"/>
          </w:tcPr>
          <w:p w14:paraId="2C4ECD10"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N = 94</w:t>
            </w:r>
          </w:p>
        </w:tc>
      </w:tr>
      <w:tr w:rsidR="00A64B54" w:rsidRPr="00FA3CF6" w14:paraId="09DFF1DD" w14:textId="77777777" w:rsidTr="00850048">
        <w:trPr>
          <w:jc w:val="center"/>
        </w:trPr>
        <w:tc>
          <w:tcPr>
            <w:cnfStyle w:val="001000000000" w:firstRow="0" w:lastRow="0" w:firstColumn="1" w:lastColumn="0" w:oddVBand="0" w:evenVBand="0" w:oddHBand="0" w:evenHBand="0" w:firstRowFirstColumn="0" w:firstRowLastColumn="0" w:lastRowFirstColumn="0" w:lastRowLastColumn="0"/>
            <w:tcW w:w="1489" w:type="dxa"/>
          </w:tcPr>
          <w:p w14:paraId="1B6D256C"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eastAsia="en-ID"/>
              </w:rPr>
              <w:t>Primary Intervention (I)</w:t>
            </w:r>
          </w:p>
        </w:tc>
        <w:tc>
          <w:tcPr>
            <w:tcW w:w="1908" w:type="dxa"/>
          </w:tcPr>
          <w:p w14:paraId="454166D1"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Multimodal: Physical Activity (with digital application), Nutritional Support, and Pain Management.</w:t>
            </w:r>
          </w:p>
        </w:tc>
        <w:tc>
          <w:tcPr>
            <w:tcW w:w="2630" w:type="dxa"/>
          </w:tcPr>
          <w:p w14:paraId="79123DCF"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eastAsia="en-ID"/>
              </w:rPr>
              <w:t>NMES (Neuromuscular Electrical Stimulation)</w:t>
            </w:r>
          </w:p>
        </w:tc>
        <w:tc>
          <w:tcPr>
            <w:tcW w:w="2269" w:type="dxa"/>
          </w:tcPr>
          <w:p w14:paraId="4BDA1EE4"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Supervised Resistance Training + Protein Supplement</w:t>
            </w:r>
          </w:p>
        </w:tc>
      </w:tr>
      <w:tr w:rsidR="00A64B54" w:rsidRPr="00FA3CF6" w14:paraId="71D74A38" w14:textId="77777777" w:rsidTr="008500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9" w:type="dxa"/>
          </w:tcPr>
          <w:p w14:paraId="6F4E6760"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eastAsia="en-ID"/>
              </w:rPr>
              <w:t>Control Group (C)</w:t>
            </w:r>
          </w:p>
        </w:tc>
        <w:tc>
          <w:tcPr>
            <w:tcW w:w="1908" w:type="dxa"/>
          </w:tcPr>
          <w:p w14:paraId="2DE0C1A4"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eastAsia="en-ID"/>
              </w:rPr>
              <w:t>Standard Care</w:t>
            </w:r>
          </w:p>
        </w:tc>
        <w:tc>
          <w:tcPr>
            <w:tcW w:w="2630" w:type="dxa"/>
          </w:tcPr>
          <w:p w14:paraId="22717C7C"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Sham-NMES Non-Invasive (Placebo)</w:t>
            </w:r>
          </w:p>
        </w:tc>
        <w:tc>
          <w:tcPr>
            <w:tcW w:w="2269" w:type="dxa"/>
          </w:tcPr>
          <w:p w14:paraId="76C15498"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Standard Care + Protein Supplement</w:t>
            </w:r>
          </w:p>
        </w:tc>
      </w:tr>
      <w:tr w:rsidR="00A64B54" w:rsidRPr="00FA3CF6" w14:paraId="7E477AF2" w14:textId="77777777" w:rsidTr="00850048">
        <w:trPr>
          <w:jc w:val="center"/>
        </w:trPr>
        <w:tc>
          <w:tcPr>
            <w:cnfStyle w:val="001000000000" w:firstRow="0" w:lastRow="0" w:firstColumn="1" w:lastColumn="0" w:oddVBand="0" w:evenVBand="0" w:oddHBand="0" w:evenHBand="0" w:firstRowFirstColumn="0" w:firstRowLastColumn="0" w:lastRowFirstColumn="0" w:lastRowLastColumn="0"/>
            <w:tcW w:w="1489" w:type="dxa"/>
          </w:tcPr>
          <w:p w14:paraId="6B47420C"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eastAsia="en-ID"/>
              </w:rPr>
              <w:t>Intervention Duration</w:t>
            </w:r>
          </w:p>
        </w:tc>
        <w:tc>
          <w:tcPr>
            <w:tcW w:w="1908" w:type="dxa"/>
          </w:tcPr>
          <w:p w14:paraId="27BDC25E"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eastAsia="en-ID"/>
              </w:rPr>
              <w:t>Not Specified (During Chemotherapy)</w:t>
            </w:r>
          </w:p>
        </w:tc>
        <w:tc>
          <w:tcPr>
            <w:tcW w:w="2630" w:type="dxa"/>
          </w:tcPr>
          <w:p w14:paraId="35D65B4D"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Perioperative to Post-op (Pre-op)</w:t>
            </w:r>
          </w:p>
        </w:tc>
        <w:tc>
          <w:tcPr>
            <w:tcW w:w="2269" w:type="dxa"/>
          </w:tcPr>
          <w:p w14:paraId="7B7979ED"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16 Weeks</w:t>
            </w:r>
          </w:p>
        </w:tc>
      </w:tr>
      <w:tr w:rsidR="00A64B54" w:rsidRPr="00FA3CF6" w14:paraId="04A8B4E2" w14:textId="77777777" w:rsidTr="008500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9" w:type="dxa"/>
          </w:tcPr>
          <w:p w14:paraId="17448DE1"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eastAsia="en-ID"/>
              </w:rPr>
              <w:t>Planned Primary Outcome</w:t>
            </w:r>
          </w:p>
        </w:tc>
        <w:tc>
          <w:tcPr>
            <w:tcW w:w="1908" w:type="dxa"/>
          </w:tcPr>
          <w:p w14:paraId="3C039CDF"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Quality of Life (QoL)</w:t>
            </w:r>
          </w:p>
        </w:tc>
        <w:tc>
          <w:tcPr>
            <w:tcW w:w="2630" w:type="dxa"/>
          </w:tcPr>
          <w:p w14:paraId="71A5F053"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Post-operative Complications &amp; Health-Related Quality of Life (HRQoL)</w:t>
            </w:r>
          </w:p>
        </w:tc>
        <w:tc>
          <w:tcPr>
            <w:tcW w:w="2269" w:type="dxa"/>
          </w:tcPr>
          <w:p w14:paraId="06018DC7"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val="nn-NO" w:eastAsia="en-ID"/>
              </w:rPr>
              <w:t>Skeletal Muscle Mass (SMI/LBM)</w:t>
            </w:r>
          </w:p>
        </w:tc>
      </w:tr>
      <w:tr w:rsidR="00A64B54" w:rsidRPr="00FA3CF6" w14:paraId="73D8BDBB" w14:textId="77777777" w:rsidTr="00850048">
        <w:trPr>
          <w:jc w:val="center"/>
        </w:trPr>
        <w:tc>
          <w:tcPr>
            <w:cnfStyle w:val="001000000000" w:firstRow="0" w:lastRow="0" w:firstColumn="1" w:lastColumn="0" w:oddVBand="0" w:evenVBand="0" w:oddHBand="0" w:evenHBand="0" w:firstRowFirstColumn="0" w:firstRowLastColumn="0" w:lastRowFirstColumn="0" w:lastRowLastColumn="0"/>
            <w:tcW w:w="1489" w:type="dxa"/>
          </w:tcPr>
          <w:p w14:paraId="572FEE4F"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eastAsia="en-ID"/>
              </w:rPr>
              <w:lastRenderedPageBreak/>
              <w:t>Overall Survival (OS) Status</w:t>
            </w:r>
          </w:p>
        </w:tc>
        <w:tc>
          <w:tcPr>
            <w:tcW w:w="1908" w:type="dxa"/>
          </w:tcPr>
          <w:p w14:paraId="64D62CFB"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NOT stated as a formal outcome</w:t>
            </w:r>
          </w:p>
        </w:tc>
        <w:tc>
          <w:tcPr>
            <w:tcW w:w="2630" w:type="dxa"/>
          </w:tcPr>
          <w:p w14:paraId="078882B0"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LISTED as a secondary outcome at 12 months</w:t>
            </w:r>
          </w:p>
        </w:tc>
        <w:tc>
          <w:tcPr>
            <w:tcW w:w="2269" w:type="dxa"/>
          </w:tcPr>
          <w:p w14:paraId="1B0A43D3"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NOT stated as a formal outcome</w:t>
            </w:r>
          </w:p>
        </w:tc>
      </w:tr>
      <w:tr w:rsidR="00A64B54" w:rsidRPr="00FA3CF6" w14:paraId="57B8F407" w14:textId="77777777" w:rsidTr="008500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9" w:type="dxa"/>
          </w:tcPr>
          <w:p w14:paraId="5CF3A518" w14:textId="77777777" w:rsidR="00A64B54" w:rsidRPr="00FA3CF6" w:rsidRDefault="00A64B54" w:rsidP="00EC4C39">
            <w:pPr>
              <w:tabs>
                <w:tab w:val="left" w:pos="1704"/>
              </w:tabs>
              <w:contextualSpacing/>
              <w:jc w:val="both"/>
              <w:rPr>
                <w:rFonts w:ascii="Garamond" w:hAnsi="Garamond" w:cs="Times New Roman"/>
                <w:sz w:val="24"/>
                <w:szCs w:val="24"/>
                <w:lang w:val="nn-NO" w:eastAsia="en-ID"/>
              </w:rPr>
            </w:pPr>
            <w:r w:rsidRPr="00FA3CF6">
              <w:rPr>
                <w:rFonts w:ascii="Garamond" w:hAnsi="Garamond" w:cs="Times New Roman"/>
                <w:sz w:val="24"/>
                <w:szCs w:val="24"/>
                <w:lang w:val="nn-NO" w:eastAsia="en-ID"/>
              </w:rPr>
              <w:t>LBM/SMI Measurement Method</w:t>
            </w:r>
          </w:p>
        </w:tc>
        <w:tc>
          <w:tcPr>
            <w:tcW w:w="1908" w:type="dxa"/>
          </w:tcPr>
          <w:p w14:paraId="0A1174CB"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Bioelectrical Impedance Analysis (BIA)</w:t>
            </w:r>
          </w:p>
        </w:tc>
        <w:tc>
          <w:tcPr>
            <w:tcW w:w="2630" w:type="dxa"/>
          </w:tcPr>
          <w:p w14:paraId="5ABA58E0"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CT Scan (Skeletal Muscle Index - SMI)</w:t>
            </w:r>
          </w:p>
        </w:tc>
        <w:tc>
          <w:tcPr>
            <w:tcW w:w="2269" w:type="dxa"/>
          </w:tcPr>
          <w:p w14:paraId="39F06E01" w14:textId="77777777" w:rsidR="00A64B54" w:rsidRPr="00FA3CF6" w:rsidRDefault="00A64B54" w:rsidP="00EC4C39">
            <w:pPr>
              <w:tabs>
                <w:tab w:val="left" w:pos="1704"/>
              </w:tabs>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CT Scan (Lean Body Mass - LBM)</w:t>
            </w:r>
          </w:p>
        </w:tc>
      </w:tr>
      <w:tr w:rsidR="00A64B54" w:rsidRPr="00FA3CF6" w14:paraId="402B5EBB" w14:textId="77777777" w:rsidTr="00850048">
        <w:trPr>
          <w:jc w:val="center"/>
        </w:trPr>
        <w:tc>
          <w:tcPr>
            <w:cnfStyle w:val="001000000000" w:firstRow="0" w:lastRow="0" w:firstColumn="1" w:lastColumn="0" w:oddVBand="0" w:evenVBand="0" w:oddHBand="0" w:evenHBand="0" w:firstRowFirstColumn="0" w:firstRowLastColumn="0" w:lastRowFirstColumn="0" w:lastRowLastColumn="0"/>
            <w:tcW w:w="1489" w:type="dxa"/>
          </w:tcPr>
          <w:p w14:paraId="6D769E4F" w14:textId="77777777" w:rsidR="00A64B54" w:rsidRPr="00FA3CF6" w:rsidRDefault="00A64B54" w:rsidP="00EC4C39">
            <w:pPr>
              <w:tabs>
                <w:tab w:val="left" w:pos="1704"/>
              </w:tabs>
              <w:contextualSpacing/>
              <w:jc w:val="both"/>
              <w:rPr>
                <w:rFonts w:ascii="Garamond" w:hAnsi="Garamond" w:cs="Times New Roman"/>
                <w:sz w:val="24"/>
                <w:szCs w:val="24"/>
                <w:lang w:eastAsia="en-ID"/>
              </w:rPr>
            </w:pPr>
            <w:r w:rsidRPr="00FA3CF6">
              <w:rPr>
                <w:rFonts w:ascii="Garamond" w:hAnsi="Garamond" w:cs="Times New Roman"/>
                <w:sz w:val="24"/>
                <w:szCs w:val="24"/>
                <w:lang w:eastAsia="en-ID"/>
              </w:rPr>
              <w:t>Risk of Bias (RoB 2.0)</w:t>
            </w:r>
          </w:p>
        </w:tc>
        <w:tc>
          <w:tcPr>
            <w:tcW w:w="1908" w:type="dxa"/>
          </w:tcPr>
          <w:p w14:paraId="7AA440DF"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High (D2: Blinding/Some Concerns)</w:t>
            </w:r>
          </w:p>
        </w:tc>
        <w:tc>
          <w:tcPr>
            <w:tcW w:w="2630" w:type="dxa"/>
          </w:tcPr>
          <w:p w14:paraId="0A5994BD"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nn-NO" w:eastAsia="en-ID"/>
              </w:rPr>
            </w:pPr>
            <w:r w:rsidRPr="00FA3CF6">
              <w:rPr>
                <w:rFonts w:ascii="Garamond" w:hAnsi="Garamond" w:cs="Times New Roman"/>
                <w:sz w:val="24"/>
                <w:szCs w:val="24"/>
                <w:lang w:eastAsia="en-ID"/>
              </w:rPr>
              <w:t>Low (D2: using NMES)</w:t>
            </w:r>
          </w:p>
        </w:tc>
        <w:tc>
          <w:tcPr>
            <w:tcW w:w="2269" w:type="dxa"/>
          </w:tcPr>
          <w:p w14:paraId="29ABD587" w14:textId="77777777" w:rsidR="00A64B54" w:rsidRPr="00FA3CF6" w:rsidRDefault="00A64B54" w:rsidP="00EC4C39">
            <w:pPr>
              <w:tabs>
                <w:tab w:val="left" w:pos="1704"/>
              </w:tabs>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eastAsia="en-ID"/>
              </w:rPr>
            </w:pPr>
            <w:r w:rsidRPr="00FA3CF6">
              <w:rPr>
                <w:rFonts w:ascii="Garamond" w:hAnsi="Garamond" w:cs="Times New Roman"/>
                <w:sz w:val="24"/>
                <w:szCs w:val="24"/>
                <w:lang w:eastAsia="en-ID"/>
              </w:rPr>
              <w:t>High (D2: Blinding/Some Concerns)</w:t>
            </w:r>
          </w:p>
        </w:tc>
      </w:tr>
    </w:tbl>
    <w:p w14:paraId="5ADDF8BC" w14:textId="77777777" w:rsidR="00A64B54" w:rsidRPr="00FA3CF6" w:rsidRDefault="00A64B54" w:rsidP="00EC4C39">
      <w:pPr>
        <w:ind w:firstLine="0"/>
        <w:rPr>
          <w:rFonts w:ascii="Garamond" w:hAnsi="Garamond" w:cs="Arial"/>
          <w:i/>
          <w:iCs/>
          <w:kern w:val="2"/>
          <w:sz w:val="24"/>
          <w:szCs w:val="24"/>
          <w:lang w:val="en-ID"/>
          <w14:ligatures w14:val="standardContextual"/>
        </w:rPr>
      </w:pPr>
    </w:p>
    <w:p w14:paraId="06373B98" w14:textId="77777777" w:rsidR="00A64B54" w:rsidRPr="00FA3CF6" w:rsidRDefault="00A64B54" w:rsidP="00EC4C39">
      <w:pPr>
        <w:ind w:firstLine="0"/>
        <w:jc w:val="both"/>
        <w:rPr>
          <w:rFonts w:ascii="Garamond" w:hAnsi="Garamond" w:cs="Times New Roman"/>
          <w:b/>
          <w:bCs/>
          <w:i/>
          <w:iCs/>
          <w:kern w:val="2"/>
          <w:sz w:val="24"/>
          <w:szCs w:val="24"/>
          <w:lang w:val="en-ID"/>
          <w14:ligatures w14:val="standardContextual"/>
        </w:rPr>
      </w:pPr>
      <w:r w:rsidRPr="00FA3CF6">
        <w:rPr>
          <w:rFonts w:ascii="Garamond" w:hAnsi="Garamond" w:cs="Times New Roman"/>
          <w:b/>
          <w:bCs/>
          <w:i/>
          <w:iCs/>
          <w:kern w:val="2"/>
          <w:sz w:val="24"/>
          <w:szCs w:val="24"/>
          <w:lang w:val="en-ID"/>
          <w14:ligatures w14:val="standardContextual"/>
        </w:rPr>
        <w:t>Crucial Evidence Gap in Overall Survival (OS).</w:t>
      </w:r>
    </w:p>
    <w:p w14:paraId="0FF5DDB6" w14:textId="77777777" w:rsidR="00A64B54" w:rsidRPr="00FA3CF6" w:rsidRDefault="00A64B54" w:rsidP="00EC4C39">
      <w:pPr>
        <w:ind w:firstLine="720"/>
        <w:jc w:val="both"/>
        <w:rPr>
          <w:rFonts w:ascii="Garamond" w:hAnsi="Garamond" w:cs="Times New Roman"/>
          <w:i/>
          <w:iCs/>
          <w:kern w:val="2"/>
          <w:sz w:val="24"/>
          <w:szCs w:val="24"/>
          <w:lang w:val="en-ID"/>
          <w14:ligatures w14:val="standardContextual"/>
        </w:rPr>
      </w:pPr>
      <w:r w:rsidRPr="00FA3CF6">
        <w:rPr>
          <w:rFonts w:ascii="Garamond" w:hAnsi="Garamond" w:cs="Times New Roman"/>
          <w:i/>
          <w:iCs/>
          <w:kern w:val="2"/>
          <w:sz w:val="24"/>
          <w:szCs w:val="24"/>
          <w:lang w:val="en-ID"/>
          <w14:ligatures w14:val="standardContextual"/>
        </w:rPr>
        <w:t xml:space="preserve"> </w:t>
      </w:r>
      <w:r w:rsidRPr="00FA3CF6">
        <w:rPr>
          <w:rFonts w:ascii="Garamond" w:hAnsi="Garamond" w:cs="Times New Roman"/>
          <w:kern w:val="2"/>
          <w:sz w:val="24"/>
          <w:szCs w:val="24"/>
          <w:lang w:val="en-ID"/>
          <w14:ligatures w14:val="standardContextual"/>
        </w:rPr>
        <w:t>PICO analysis of the relevant protocols confirms a distinct evidence gap concerning the most critical clinical primary outcome: Overall Survival (OS). Of the three protocols, only BiCyCLE NMES explicitly listed OS as a secondary outcome at 12 months. The other two protocols (RELEVIUM and REBUILD) prioritize surrogate outcomes, such as Quality of Life (QoL) and Skeletal Muscle Mass (Skeletal Muscle Index – SMI/LBM). This fact highlights that direct evidence regarding the effect of physical exercise on the survival of advanced GI cancer patients with cachexia remains extremely limited and will continue to be an unanswered question, even after the publication of the results from most of these trials.</w:t>
      </w:r>
    </w:p>
    <w:p w14:paraId="66473807" w14:textId="77777777" w:rsidR="00A64B54" w:rsidRPr="00FA3CF6" w:rsidRDefault="00A64B54" w:rsidP="00EC4C39">
      <w:pPr>
        <w:ind w:firstLine="0"/>
        <w:jc w:val="both"/>
        <w:rPr>
          <w:rFonts w:ascii="Garamond" w:hAnsi="Garamond" w:cs="Times New Roman"/>
          <w:b/>
          <w:bCs/>
          <w:i/>
          <w:iCs/>
          <w:kern w:val="2"/>
          <w:sz w:val="24"/>
          <w:szCs w:val="24"/>
          <w:lang w:val="en-ID"/>
          <w14:ligatures w14:val="standardContextual"/>
        </w:rPr>
      </w:pPr>
      <w:r w:rsidRPr="00FA3CF6">
        <w:rPr>
          <w:rFonts w:ascii="Garamond" w:hAnsi="Garamond" w:cs="Times New Roman"/>
          <w:b/>
          <w:bCs/>
          <w:i/>
          <w:iCs/>
          <w:kern w:val="2"/>
          <w:sz w:val="24"/>
          <w:szCs w:val="24"/>
          <w:lang w:val="en-ID"/>
          <w14:ligatures w14:val="standardContextual"/>
        </w:rPr>
        <w:t>Critical Heterogeneity in Muscle Mass Measurement.</w:t>
      </w:r>
    </w:p>
    <w:p w14:paraId="553D4520" w14:textId="77777777" w:rsidR="00A64B54" w:rsidRPr="00FA3CF6" w:rsidRDefault="00A64B54" w:rsidP="00EC4C39">
      <w:pPr>
        <w:ind w:firstLine="720"/>
        <w:jc w:val="both"/>
        <w:rPr>
          <w:rFonts w:ascii="Garamond" w:hAnsi="Garamond" w:cs="Times New Roman"/>
          <w:kern w:val="2"/>
          <w:sz w:val="24"/>
          <w:szCs w:val="24"/>
          <w:lang w:val="en-ID"/>
          <w14:ligatures w14:val="standardContextual"/>
        </w:rPr>
      </w:pPr>
      <w:r w:rsidRPr="00FA3CF6">
        <w:rPr>
          <w:rFonts w:ascii="Garamond" w:hAnsi="Garamond" w:cs="Times New Roman"/>
          <w:i/>
          <w:iCs/>
          <w:kern w:val="2"/>
          <w:sz w:val="24"/>
          <w:szCs w:val="24"/>
          <w:lang w:val="en-ID"/>
          <w14:ligatures w14:val="standardContextual"/>
        </w:rPr>
        <w:t xml:space="preserve"> </w:t>
      </w:r>
      <w:r w:rsidRPr="00FA3CF6">
        <w:rPr>
          <w:rFonts w:ascii="Garamond" w:hAnsi="Garamond" w:cs="Times New Roman"/>
          <w:kern w:val="2"/>
          <w:sz w:val="24"/>
          <w:szCs w:val="24"/>
          <w:lang w:val="en-ID"/>
          <w14:ligatures w14:val="standardContextual"/>
        </w:rPr>
        <w:t>A significant methodological difference exists in the measurement of Lean Body Mass (LBM), which will impact the ability to directly compare LBM findings. The REBUILD and BiCyCLE NMES</w:t>
      </w:r>
      <w:r w:rsidRPr="00FA3CF6">
        <w:rPr>
          <w:rFonts w:ascii="Garamond" w:hAnsi="Garamond" w:cs="Times New Roman"/>
          <w:kern w:val="2"/>
          <w:sz w:val="24"/>
          <w:szCs w:val="24"/>
          <w:lang w:val="en-ID"/>
          <w14:ligatures w14:val="standardContextual"/>
        </w:rPr>
        <w:fldChar w:fldCharType="begin" w:fldLock="1"/>
      </w:r>
      <w:r w:rsidRPr="00FA3CF6">
        <w:rPr>
          <w:rFonts w:ascii="Garamond" w:hAnsi="Garamond" w:cs="Times New Roman"/>
          <w:kern w:val="2"/>
          <w:sz w:val="24"/>
          <w:szCs w:val="24"/>
          <w:lang w:val="en-ID"/>
          <w14:ligatures w14:val="standardContextual"/>
        </w:rPr>
        <w:instrText>ADDIN CSL_CITATION {"citationItems":[{"id":"ITEM-1","itemData":{"author":[{"dropping-particle":"","family":"Lung","given":"Philip","non-dropping-particle":"","parse-names":false,"suffix":""},{"dropping-particle":"","family":"Frcr","given":"Hons","non-dropping-particle":"","parse-names":false,"suffix":""},{"dropping-particle":"","family":"Bharal","given":"Mina","non-dropping-particle":"","parse-names":false,"suffix":""},{"dropping-particle":"","family":"Fadodun","given":"Tutu","non-dropping-particle":"","parse-names":false,"suffix":""},{"dropping-particle":"","family":"Taylor","given":"Claire","non-dropping-particle":"","parse-names":false,"suffix":""}],"id":"ITEM-1","issued":{"date-parts":[["0"]]},"page":"1-22","title":"BiCyCLE NMES - Neuromuscular electrical stimulation in the perioperative treatment of sarcopenia and myosteatosis in advanced rectal cancer patients: design and methodology of a phase II pilot study Edward","type":"article-journal"},"uris":["http://www.mendeley.com/documents/?uuid=72c1d4b1-c59b-46b0-99d9-dcc7d6b8b449"]}],"mendeley":{"formattedCitation":"(15)","plainTextFormattedCitation":"(15)","previouslyFormattedCitation":"(15)"},"properties":{"noteIndex":0},"schema":"https://github.com/citation-style-language/schema/raw/master/csl-citation.json"}</w:instrText>
      </w:r>
      <w:r w:rsidRPr="00FA3CF6">
        <w:rPr>
          <w:rFonts w:ascii="Garamond" w:hAnsi="Garamond" w:cs="Times New Roman"/>
          <w:kern w:val="2"/>
          <w:sz w:val="24"/>
          <w:szCs w:val="24"/>
          <w:lang w:val="en-ID"/>
          <w14:ligatures w14:val="standardContextual"/>
        </w:rPr>
        <w:fldChar w:fldCharType="separate"/>
      </w:r>
      <w:r w:rsidRPr="00FA3CF6">
        <w:rPr>
          <w:rFonts w:ascii="Garamond" w:hAnsi="Garamond" w:cs="Times New Roman"/>
          <w:noProof/>
          <w:kern w:val="2"/>
          <w:sz w:val="24"/>
          <w:szCs w:val="24"/>
          <w:lang w:val="en-ID"/>
          <w14:ligatures w14:val="standardContextual"/>
        </w:rPr>
        <w:t>(15)</w:t>
      </w:r>
      <w:r w:rsidRPr="00FA3CF6">
        <w:rPr>
          <w:rFonts w:ascii="Garamond" w:hAnsi="Garamond" w:cs="Times New Roman"/>
          <w:kern w:val="2"/>
          <w:sz w:val="24"/>
          <w:szCs w:val="24"/>
          <w:lang w:val="en-ID"/>
          <w14:ligatures w14:val="standardContextual"/>
        </w:rPr>
        <w:fldChar w:fldCharType="end"/>
      </w:r>
      <w:r w:rsidRPr="00FA3CF6">
        <w:rPr>
          <w:rFonts w:ascii="Garamond" w:hAnsi="Garamond" w:cs="Times New Roman"/>
          <w:kern w:val="2"/>
          <w:sz w:val="24"/>
          <w:szCs w:val="24"/>
          <w:lang w:val="en-ID"/>
          <w14:ligatures w14:val="standardContextual"/>
        </w:rPr>
        <w:t>protocols plan to use CT scan to measure SMI, which is recognized as the gold standard for the diagnosis and monitoring of sarcopenia in cancer patients. Conversely, the RELEVIUM protocol utilizes Bioelectrical Impedance Analysis (BIA), which is more practical and easily applicable in clinical settings, but has limited accuracy, especially in patients with changes in hydration status associated with cachexia. This difference implies that the SMI/LBM results from REBUILD and BiCyCLE NMES will possess higher clinical validity.</w:t>
      </w:r>
    </w:p>
    <w:p w14:paraId="2A91BBA3" w14:textId="77777777" w:rsidR="00A64B54" w:rsidRPr="00FA3CF6" w:rsidRDefault="00A64B54" w:rsidP="00EC4C39">
      <w:pPr>
        <w:ind w:firstLine="0"/>
        <w:contextualSpacing/>
        <w:jc w:val="both"/>
        <w:rPr>
          <w:rFonts w:ascii="Garamond" w:hAnsi="Garamond" w:cs="Times New Roman"/>
          <w:b/>
          <w:bCs/>
          <w:i/>
          <w:iCs/>
          <w:kern w:val="2"/>
          <w:sz w:val="24"/>
          <w:szCs w:val="24"/>
          <w:lang w:val="en-ID"/>
          <w14:ligatures w14:val="standardContextual"/>
        </w:rPr>
      </w:pPr>
      <w:r w:rsidRPr="00FA3CF6">
        <w:rPr>
          <w:rFonts w:ascii="Garamond" w:hAnsi="Garamond" w:cs="Times New Roman"/>
          <w:b/>
          <w:bCs/>
          <w:i/>
          <w:iCs/>
          <w:kern w:val="2"/>
          <w:sz w:val="24"/>
          <w:szCs w:val="24"/>
          <w:lang w:val="en-ID"/>
          <w14:ligatures w14:val="standardContextual"/>
        </w:rPr>
        <w:t>Clinical Relevance of Intervention Design.</w:t>
      </w:r>
    </w:p>
    <w:p w14:paraId="33D81BFB" w14:textId="77777777" w:rsidR="00A64B54" w:rsidRPr="00FA3CF6" w:rsidRDefault="00A64B54" w:rsidP="00EC4C39">
      <w:pPr>
        <w:ind w:firstLine="426"/>
        <w:contextualSpacing/>
        <w:jc w:val="both"/>
        <w:rPr>
          <w:rFonts w:ascii="Garamond" w:hAnsi="Garamond" w:cs="Times New Roman"/>
          <w:kern w:val="2"/>
          <w:sz w:val="24"/>
          <w:szCs w:val="24"/>
          <w:lang w:val="en-ID"/>
          <w14:ligatures w14:val="standardContextual"/>
        </w:rPr>
      </w:pPr>
      <w:r w:rsidRPr="00FA3CF6">
        <w:rPr>
          <w:rFonts w:ascii="Garamond" w:hAnsi="Garamond" w:cs="Times New Roman"/>
          <w:kern w:val="2"/>
          <w:sz w:val="24"/>
          <w:szCs w:val="24"/>
          <w:lang w:val="en-ID"/>
          <w14:ligatures w14:val="standardContextual"/>
        </w:rPr>
        <w:t>The analysis of intervention designs demonstrates high clinical relevance concerning the challenges of cachexia management. The BiCyCLE NMES protocol stands out by testing Neuromuscular Electrical Stimulation (NMES) as an alternative for patients suffering from extreme fatigue or post-operative immobility, who are often clinically unable to participate in voluntary exercise. This intervention offers a solution to overcome the most severe barriers to participation. Meanwhile, the RELEVIUM protocol tests a multimodal approach (Physical Exercise, Nutrition, and Pain Management), which is highly relevant as cachexia is a multifactorial syndrome requiring integrated management. Finally, the highest consistency was found in the secondary outcome of Quality of Life (QoL), where the majority of protocols utilized standardized instruments such as the EORTC QLQ-C30</w:t>
      </w:r>
      <w:r w:rsidRPr="00FA3CF6">
        <w:rPr>
          <w:rFonts w:ascii="Garamond" w:hAnsi="Garamond" w:cs="Times New Roman"/>
          <w:kern w:val="2"/>
          <w:sz w:val="24"/>
          <w:szCs w:val="24"/>
          <w:lang w:val="en-ID"/>
          <w14:ligatures w14:val="standardContextual"/>
        </w:rPr>
        <w:fldChar w:fldCharType="begin" w:fldLock="1"/>
      </w:r>
      <w:r w:rsidRPr="00FA3CF6">
        <w:rPr>
          <w:rFonts w:ascii="Garamond" w:hAnsi="Garamond" w:cs="Times New Roman"/>
          <w:kern w:val="2"/>
          <w:sz w:val="24"/>
          <w:szCs w:val="24"/>
          <w:lang w:val="en-ID"/>
          <w14:ligatures w14:val="standardContextual"/>
        </w:rPr>
        <w:instrText>ADDIN CSL_CITATION {"citationItems":[{"id":"ITEM-1","itemData":{"DOI":"10.1016/j.ejca.2020.01.025","ISSN":"1879-0852 (Electronic)","PMID":"32179445","abstract":"BACKGROUND: The implementation of quality of life (QoL) concepts in routine care,  is still an open matter. We followed the Medical Research Council framework for complex interventions to implement a model of QoL diagnosis and therapeutic options, and investigated its effectiveness in patients with colorectal cancer. METHODS: This randomised, single-blind, multicentre, clinical trial enrolled patients diagnosed with primary colorectal cancer aged 18 years or older who were surgically treated in one of four recruiting hospitals in Germany. All patients received aftercare from one of 178 coordinating practitioners (CPs) who had access to 75 healthcare professionals providing tailored therapies. QoL was measured (EORTC QLQ-C30, QLQ-CR29) in all patients after surgery (baseline) and during aftercare (3, 6, 12, 18 months). Patients were randomised (1:1) into two groups: a care pathway, including QoL-profiles consisting of 13 QoL scales plus specific therapeutic recommendations forwarded to the patient's CP or standard postoperative care adhering to the German national guideline for colorectal cancer (control). The primary endpoint was the proportion of patients in each group with a need for QoL therapy 12 months after surgery. Analyses were done in the intention-to-treat population. This trial is registered with ClinicalTrials.gov, number NCT02321813 and closed to accrual. FINDINGS: Between Jan 13, 2014, and Oct 28, 2015, 220 patients were enrolled and randomly assigned (n = 110 per group). At baseline (in hospital after surgery), a need for QoL therapy was diagnosed in 92/103 (89%) of intervention and 86/104 (83%) of control group patients. At 12 months (primary endpoint) the proportion of patients with a need for QoL therapy was 35/83 (42%; 95% CI 31-54%) in the intervention group versus 50/87 (57%; 95% CI: 46-68%) in the control group (p = 0·046, number needed to treat = 7; 95% CI 3-225). INTERPRETATION: Patients profited from the diagnosis of QoL deficits and tailored therapeutic options in their treatment of colorectal cancer. This trial confirmed the results of a previous RCT in breast cancer patients. The implementation of QoL concepts should become standard in treatment guidelines on cancer care. FUNDING: Federal Ministry of Education and Research (BMBF; grant no. 01GY1339). CLINICAL TRIAL INFORMATION: NCT02321813.","author":[{"dropping-particle":"","family":"Klinkhammer-Schalke","given":"Monika","non-dropping-particle":"","parse-names":false,"suffix":""},{"dropping-particle":"","family":"Steinger","given":"Brunhilde","non-dropping-particle":"","parse-names":false,"suffix":""},{"dropping-particle":"","family":"Koller","given":"Michael","non-dropping-particle":"","parse-names":false,"suffix":""},{"dropping-particle":"","family":"Zeman","given":"Florian","non-dropping-particle":"","parse-names":false,"suffix":""},{"dropping-particle":"","family":"Fürst","given":"Alois","non-dropping-particle":"","parse-names":false,"suffix":""},{"dropping-particle":"","family":"Gumpp","given":"Julia","non-dropping-particle":"","parse-names":false,"suffix":""},{"dropping-particle":"","family":"Obermaier","given":"Robert","non-dropping-particle":"","parse-names":false,"suffix":""},{"dropping-particle":"","family":"Piso","given":"Pompiliu","non-dropping-particle":"","parse-names":false,"suffix":""},{"dropping-particle":"","family":"Lindberg-Scharf","given":"Patricia","non-dropping-particle":"","parse-names":false,"suffix":""}],"container-title":"European journal of cancer (Oxford, England : 1990)","id":"ITEM-1","issued":{"date-parts":[["2020","5"]]},"language":"eng","page":"102-113","publisher-place":"England","title":"Diagnosing deficits in quality of life and providing tailored therapeutic  options: Results of a randomised trial in 220 patients with colorectal cancer.","type":"article-journal","volume":"130"},"uris":["http://www.mendeley.com/documents/?uuid=a50450c7-d6c2-4855-ac9c-677cce29a9aa"]}],"mendeley":{"formattedCitation":"(17)","plainTextFormattedCitation":"(17)","previouslyFormattedCitation":"(17)"},"properties":{"noteIndex":0},"schema":"https://github.com/citation-style-language/schema/raw/master/csl-citation.json"}</w:instrText>
      </w:r>
      <w:r w:rsidRPr="00FA3CF6">
        <w:rPr>
          <w:rFonts w:ascii="Garamond" w:hAnsi="Garamond" w:cs="Times New Roman"/>
          <w:kern w:val="2"/>
          <w:sz w:val="24"/>
          <w:szCs w:val="24"/>
          <w:lang w:val="en-ID"/>
          <w14:ligatures w14:val="standardContextual"/>
        </w:rPr>
        <w:fldChar w:fldCharType="separate"/>
      </w:r>
      <w:r w:rsidRPr="00FA3CF6">
        <w:rPr>
          <w:rFonts w:ascii="Garamond" w:hAnsi="Garamond" w:cs="Times New Roman"/>
          <w:noProof/>
          <w:kern w:val="2"/>
          <w:sz w:val="24"/>
          <w:szCs w:val="24"/>
          <w:lang w:val="en-ID"/>
          <w14:ligatures w14:val="standardContextual"/>
        </w:rPr>
        <w:t>(17)</w:t>
      </w:r>
      <w:r w:rsidRPr="00FA3CF6">
        <w:rPr>
          <w:rFonts w:ascii="Garamond" w:hAnsi="Garamond" w:cs="Times New Roman"/>
          <w:kern w:val="2"/>
          <w:sz w:val="24"/>
          <w:szCs w:val="24"/>
          <w:lang w:val="en-ID"/>
          <w14:ligatures w14:val="standardContextual"/>
        </w:rPr>
        <w:fldChar w:fldCharType="end"/>
      </w:r>
      <w:r w:rsidRPr="00FA3CF6">
        <w:rPr>
          <w:rFonts w:ascii="Garamond" w:hAnsi="Garamond" w:cs="Times New Roman"/>
          <w:kern w:val="2"/>
          <w:sz w:val="24"/>
          <w:szCs w:val="24"/>
          <w:lang w:val="en-ID"/>
          <w14:ligatures w14:val="standardContextual"/>
        </w:rPr>
        <w:t>, which ensures that QoL data (if available) can be compared more homogeneously.</w:t>
      </w:r>
    </w:p>
    <w:p w14:paraId="04B635C4" w14:textId="77777777" w:rsidR="00A64B54" w:rsidRPr="00FA3CF6" w:rsidRDefault="00A64B54" w:rsidP="00EC4C39">
      <w:pPr>
        <w:ind w:firstLine="0"/>
        <w:contextualSpacing/>
        <w:jc w:val="both"/>
        <w:rPr>
          <w:rFonts w:ascii="Garamond" w:hAnsi="Garamond" w:cs="Times New Roman"/>
          <w:i/>
          <w:iCs/>
          <w:kern w:val="2"/>
          <w:sz w:val="24"/>
          <w:szCs w:val="24"/>
          <w:lang w:val="en-ID"/>
          <w14:ligatures w14:val="standardContextual"/>
        </w:rPr>
      </w:pPr>
    </w:p>
    <w:p w14:paraId="5D3961EA" w14:textId="77777777" w:rsidR="00A64B54" w:rsidRPr="00FA3CF6" w:rsidRDefault="00A64B54" w:rsidP="00EC4C39">
      <w:pPr>
        <w:ind w:firstLine="0"/>
        <w:contextualSpacing/>
        <w:jc w:val="both"/>
        <w:rPr>
          <w:rFonts w:ascii="Garamond" w:hAnsi="Garamond" w:cs="Times New Roman"/>
          <w:b/>
          <w:bCs/>
          <w:kern w:val="2"/>
          <w:sz w:val="24"/>
          <w:szCs w:val="24"/>
          <w:lang w:val="en-ID"/>
          <w14:ligatures w14:val="standardContextual"/>
        </w:rPr>
      </w:pPr>
      <w:r w:rsidRPr="00FA3CF6">
        <w:rPr>
          <w:rFonts w:ascii="Garamond" w:hAnsi="Garamond" w:cs="Times New Roman"/>
          <w:b/>
          <w:bCs/>
          <w:kern w:val="2"/>
          <w:sz w:val="24"/>
          <w:szCs w:val="24"/>
          <w:lang w:val="en-ID"/>
          <w14:ligatures w14:val="standardContextual"/>
        </w:rPr>
        <w:t>Discussion</w:t>
      </w:r>
    </w:p>
    <w:p w14:paraId="7D6E334F" w14:textId="77777777" w:rsidR="00A64B54" w:rsidRPr="00FA3CF6" w:rsidRDefault="00A64B54" w:rsidP="00EC4C39">
      <w:pPr>
        <w:ind w:firstLine="0"/>
        <w:jc w:val="both"/>
        <w:rPr>
          <w:rFonts w:ascii="Garamond" w:hAnsi="Garamond" w:cs="Times New Roman"/>
          <w:i/>
          <w:iCs/>
          <w:kern w:val="2"/>
          <w:sz w:val="24"/>
          <w:szCs w:val="24"/>
          <w:lang w:val="en-ID"/>
          <w14:ligatures w14:val="standardContextual"/>
        </w:rPr>
      </w:pPr>
      <w:r w:rsidRPr="00FA3CF6">
        <w:rPr>
          <w:rFonts w:ascii="Garamond" w:hAnsi="Garamond" w:cs="Times New Roman"/>
          <w:b/>
          <w:bCs/>
          <w:i/>
          <w:iCs/>
          <w:kern w:val="2"/>
          <w:sz w:val="24"/>
          <w:szCs w:val="24"/>
          <w:lang w:val="en-ID"/>
          <w14:ligatures w14:val="standardContextual"/>
        </w:rPr>
        <w:t>Summary of Findings and Methodological Implications</w:t>
      </w:r>
      <w:r w:rsidRPr="00FA3CF6">
        <w:rPr>
          <w:rFonts w:ascii="Garamond" w:hAnsi="Garamond" w:cs="Times New Roman"/>
          <w:i/>
          <w:iCs/>
          <w:kern w:val="2"/>
          <w:sz w:val="24"/>
          <w:szCs w:val="24"/>
          <w:lang w:val="en-ID"/>
          <w14:ligatures w14:val="standardContextual"/>
        </w:rPr>
        <w:t>.</w:t>
      </w:r>
    </w:p>
    <w:p w14:paraId="07B34DB9" w14:textId="77777777" w:rsidR="00A64B54" w:rsidRDefault="00A64B54" w:rsidP="00EC4C39">
      <w:pPr>
        <w:ind w:firstLine="720"/>
        <w:jc w:val="both"/>
        <w:rPr>
          <w:rFonts w:ascii="Garamond" w:hAnsi="Garamond" w:cs="Times New Roman"/>
          <w:kern w:val="2"/>
          <w:sz w:val="24"/>
          <w:szCs w:val="24"/>
          <w:lang w:val="en-ID"/>
          <w14:ligatures w14:val="standardContextual"/>
        </w:rPr>
      </w:pPr>
      <w:r w:rsidRPr="00FA3CF6">
        <w:rPr>
          <w:rFonts w:ascii="Garamond" w:hAnsi="Garamond" w:cs="Times New Roman"/>
          <w:kern w:val="2"/>
          <w:sz w:val="24"/>
          <w:szCs w:val="24"/>
          <w:lang w:val="en-ID"/>
          <w14:ligatures w14:val="standardContextual"/>
        </w:rPr>
        <w:t xml:space="preserve">This Evidence-Based Clinical Review was conducted to evaluate the effectiveness of structured physical exercise on Overall Survival (OS) and Lean Body Mass (LBM) in patients with advanced gastrointestinal (GI) cancer and cachexia. Critically, the results of this review confirm a significant evidence gap at the level of complete RCT results; no definitive studies are available. Therefore, the analysis was shifted to assess the methodological design of three relevant and ongoing RCT protocols (RELEVIUM, BiCyCLE NMES, and REBUILD). The main findings indicate that, despite strong methodological planning in the domains of randomization and handling of missing data (D1 and D4), a high risk of bias is inherent in the domain of Participant and Personnel Blinding (D2) for two of the three protocols. This inherent Risk of Bias (RoB) must be considered when interpreting the final results of </w:t>
      </w:r>
      <w:r w:rsidRPr="00FA3CF6">
        <w:rPr>
          <w:rFonts w:ascii="Garamond" w:hAnsi="Garamond" w:cs="Times New Roman"/>
          <w:kern w:val="2"/>
          <w:sz w:val="24"/>
          <w:szCs w:val="24"/>
          <w:lang w:val="en-ID"/>
          <w14:ligatures w14:val="standardContextual"/>
        </w:rPr>
        <w:lastRenderedPageBreak/>
        <w:t>these studies, given that the internal validity of the BiCyCLE NMES study, which utilizes sham-NMES as an effective bias mitigation effort, is rated higher.</w:t>
      </w:r>
    </w:p>
    <w:p w14:paraId="6C26D51E" w14:textId="77777777" w:rsidR="00FA3CF6" w:rsidRPr="00FA3CF6" w:rsidRDefault="00FA3CF6" w:rsidP="00EC4C39">
      <w:pPr>
        <w:ind w:firstLine="720"/>
        <w:jc w:val="both"/>
        <w:rPr>
          <w:rFonts w:ascii="Garamond" w:hAnsi="Garamond" w:cs="Times New Roman"/>
          <w:kern w:val="2"/>
          <w:sz w:val="24"/>
          <w:szCs w:val="24"/>
          <w:lang w:val="en-ID"/>
          <w14:ligatures w14:val="standardContextual"/>
        </w:rPr>
      </w:pPr>
    </w:p>
    <w:p w14:paraId="04B9549A" w14:textId="77777777" w:rsidR="00A64B54" w:rsidRPr="00FA3CF6" w:rsidRDefault="00A64B54" w:rsidP="00EC4C39">
      <w:pPr>
        <w:ind w:firstLine="0"/>
        <w:contextualSpacing/>
        <w:jc w:val="both"/>
        <w:rPr>
          <w:rFonts w:ascii="Garamond" w:hAnsi="Garamond" w:cs="Times New Roman"/>
          <w:b/>
          <w:bCs/>
          <w:i/>
          <w:iCs/>
          <w:kern w:val="2"/>
          <w:sz w:val="24"/>
          <w:szCs w:val="24"/>
          <w:lang w:val="en-ID"/>
          <w14:ligatures w14:val="standardContextual"/>
        </w:rPr>
      </w:pPr>
      <w:r w:rsidRPr="00FA3CF6">
        <w:rPr>
          <w:rFonts w:ascii="Garamond" w:hAnsi="Garamond" w:cs="Times New Roman"/>
          <w:b/>
          <w:bCs/>
          <w:i/>
          <w:iCs/>
          <w:kern w:val="2"/>
          <w:sz w:val="24"/>
          <w:szCs w:val="24"/>
          <w:lang w:val="en-ID"/>
          <w14:ligatures w14:val="standardContextual"/>
        </w:rPr>
        <w:t>Critical Analysis of Outcomes and Clinical Relevance.</w:t>
      </w:r>
    </w:p>
    <w:p w14:paraId="54EF59BB" w14:textId="77777777" w:rsidR="00A64B54" w:rsidRPr="00FA3CF6" w:rsidRDefault="00A64B54" w:rsidP="00EC4C39">
      <w:pPr>
        <w:ind w:firstLine="720"/>
        <w:contextualSpacing/>
        <w:jc w:val="both"/>
        <w:rPr>
          <w:rFonts w:ascii="Garamond" w:hAnsi="Garamond" w:cs="Times New Roman"/>
          <w:kern w:val="2"/>
          <w:sz w:val="24"/>
          <w:szCs w:val="24"/>
          <w:lang w:val="en-ID"/>
          <w14:ligatures w14:val="standardContextual"/>
        </w:rPr>
      </w:pPr>
      <w:r w:rsidRPr="00FA3CF6">
        <w:rPr>
          <w:rFonts w:ascii="Garamond" w:hAnsi="Garamond" w:cs="Times New Roman"/>
          <w:i/>
          <w:iCs/>
          <w:kern w:val="2"/>
          <w:sz w:val="24"/>
          <w:szCs w:val="24"/>
          <w:lang w:val="en-ID"/>
          <w14:ligatures w14:val="standardContextual"/>
        </w:rPr>
        <w:t xml:space="preserve"> </w:t>
      </w:r>
      <w:r w:rsidRPr="00FA3CF6">
        <w:rPr>
          <w:rFonts w:ascii="Garamond" w:hAnsi="Garamond" w:cs="Times New Roman"/>
          <w:kern w:val="2"/>
          <w:sz w:val="24"/>
          <w:szCs w:val="24"/>
          <w:lang w:val="en-ID"/>
          <w14:ligatures w14:val="standardContextual"/>
        </w:rPr>
        <w:t>Outcome analysis within the protocols revealed that OS as a formal outcome is rarely listed, highlighting the research tendency to utilize surrogate outcomes such as QoL and LBM. This reliance on surrogate outcomes implies that evidence concerning the impact of interventions on survival requires further validation. Methodological limitations are also evident in LBM measurements: BiCyCLE NMES and REBUILD utilize CT scan (the gold standard for sarcopenia diagnosis), while RELEVIUM employs BIA, which is recognized to have lower accuracy in the cachexia population. This heterogeneity in measurement methods suggests that future meta-analyses combining LBM results from the three studies risk bias and may not be valid. Clinically, the intervention designs found are highly relevant to the practical challenges faced by patients. The BiCyCLE NMES protocol offers a clinical solution for addressing severe fatigue through Neuromuscular Electrical Stimulation (NMES), which enables physical intervention in patients unable to perform voluntary exercise . This model, along with the multimodal design of RELEVIUM, aligns with clinical guidelines calling for an integrated approach to cachexia management.</w:t>
      </w:r>
    </w:p>
    <w:p w14:paraId="7D524734" w14:textId="77777777" w:rsidR="005E3BCD" w:rsidRPr="00FA3CF6" w:rsidRDefault="005E3BCD" w:rsidP="00EC4C39">
      <w:pPr>
        <w:ind w:firstLine="720"/>
        <w:contextualSpacing/>
        <w:jc w:val="both"/>
        <w:rPr>
          <w:rFonts w:ascii="Garamond" w:hAnsi="Garamond" w:cs="Times New Roman"/>
          <w:kern w:val="2"/>
          <w:sz w:val="24"/>
          <w:szCs w:val="24"/>
          <w:lang w:val="en-ID"/>
          <w14:ligatures w14:val="standardContextual"/>
        </w:rPr>
      </w:pPr>
    </w:p>
    <w:p w14:paraId="588281C9" w14:textId="77777777" w:rsidR="005E3BCD" w:rsidRPr="00FA3CF6" w:rsidRDefault="00A64B54" w:rsidP="00EC4C39">
      <w:pPr>
        <w:ind w:firstLine="0"/>
        <w:contextualSpacing/>
        <w:jc w:val="both"/>
        <w:rPr>
          <w:rFonts w:ascii="Garamond" w:hAnsi="Garamond" w:cs="Times New Roman"/>
          <w:b/>
          <w:bCs/>
          <w:i/>
          <w:iCs/>
          <w:kern w:val="2"/>
          <w:sz w:val="24"/>
          <w:szCs w:val="24"/>
          <w:lang w:val="en-ID"/>
          <w14:ligatures w14:val="standardContextual"/>
        </w:rPr>
      </w:pPr>
      <w:r w:rsidRPr="00FA3CF6">
        <w:rPr>
          <w:rFonts w:ascii="Garamond" w:hAnsi="Garamond" w:cs="Times New Roman"/>
          <w:b/>
          <w:bCs/>
          <w:i/>
          <w:iCs/>
          <w:kern w:val="2"/>
          <w:sz w:val="24"/>
          <w:szCs w:val="24"/>
          <w:lang w:val="en-ID"/>
          <w14:ligatures w14:val="standardContextual"/>
        </w:rPr>
        <w:t>Implications and Future Research Directions.</w:t>
      </w:r>
    </w:p>
    <w:p w14:paraId="21B9EB71" w14:textId="77777777" w:rsidR="00A64B54" w:rsidRPr="00FA3CF6" w:rsidRDefault="00A64B54" w:rsidP="00EC4C39">
      <w:pPr>
        <w:ind w:firstLine="284"/>
        <w:contextualSpacing/>
        <w:jc w:val="both"/>
        <w:rPr>
          <w:rFonts w:ascii="Garamond" w:hAnsi="Garamond" w:cs="Times New Roman"/>
          <w:kern w:val="2"/>
          <w:sz w:val="24"/>
          <w:szCs w:val="24"/>
          <w:lang w:val="en-ID"/>
          <w14:ligatures w14:val="standardContextual"/>
        </w:rPr>
      </w:pPr>
      <w:r w:rsidRPr="00FA3CF6">
        <w:rPr>
          <w:rFonts w:ascii="Garamond" w:hAnsi="Garamond" w:cs="Times New Roman"/>
          <w:i/>
          <w:iCs/>
          <w:kern w:val="2"/>
          <w:sz w:val="24"/>
          <w:szCs w:val="24"/>
          <w:lang w:val="en-ID"/>
          <w14:ligatures w14:val="standardContextual"/>
        </w:rPr>
        <w:t xml:space="preserve"> </w:t>
      </w:r>
      <w:r w:rsidRPr="00FA3CF6">
        <w:rPr>
          <w:rFonts w:ascii="Garamond" w:hAnsi="Garamond" w:cs="Times New Roman"/>
          <w:kern w:val="2"/>
          <w:sz w:val="24"/>
          <w:szCs w:val="24"/>
          <w:lang w:val="en-ID"/>
          <w14:ligatures w14:val="standardContextual"/>
        </w:rPr>
        <w:t>Although this EBCR may not generate NNT (Number Needed to Treat) data, it is important to emphasize that NNT will be the most crucial clinical interpretation metric when the BiCyCLE NMES OS results are published. NNT can provide more practical information (eg, how many patients must be treated to save one additional life) compared to the abstract Hazard Ratio. Therefore, future research directions should focus on:</w:t>
      </w:r>
    </w:p>
    <w:p w14:paraId="748A0558" w14:textId="77777777" w:rsidR="00A64B54" w:rsidRPr="00FA3CF6" w:rsidRDefault="00A64B54" w:rsidP="00EC4C39">
      <w:pPr>
        <w:numPr>
          <w:ilvl w:val="1"/>
          <w:numId w:val="23"/>
        </w:numPr>
        <w:ind w:left="284" w:hanging="284"/>
        <w:contextualSpacing/>
        <w:jc w:val="both"/>
        <w:rPr>
          <w:rFonts w:ascii="Garamond" w:hAnsi="Garamond" w:cs="Times New Roman"/>
          <w:kern w:val="2"/>
          <w:sz w:val="24"/>
          <w:szCs w:val="24"/>
          <w:lang w:val="en-ID"/>
          <w14:ligatures w14:val="standardContextual"/>
        </w:rPr>
      </w:pPr>
      <w:r w:rsidRPr="00FA3CF6">
        <w:rPr>
          <w:rFonts w:ascii="Garamond" w:hAnsi="Garamond" w:cs="Times New Roman"/>
          <w:kern w:val="2"/>
          <w:sz w:val="24"/>
          <w:szCs w:val="24"/>
          <w:lang w:val="en-ID"/>
          <w14:ligatures w14:val="standardContextual"/>
        </w:rPr>
        <w:t>Standardization of OS as a mandatory primary or secondary outcome in rehabilitation oncology RCTs.</w:t>
      </w:r>
    </w:p>
    <w:p w14:paraId="6DFC031E" w14:textId="77777777" w:rsidR="00A64B54" w:rsidRPr="00FA3CF6" w:rsidRDefault="00A64B54" w:rsidP="00EC4C39">
      <w:pPr>
        <w:numPr>
          <w:ilvl w:val="1"/>
          <w:numId w:val="23"/>
        </w:numPr>
        <w:ind w:left="284" w:hanging="284"/>
        <w:contextualSpacing/>
        <w:jc w:val="both"/>
        <w:rPr>
          <w:rFonts w:ascii="Garamond" w:hAnsi="Garamond" w:cs="Times New Roman"/>
          <w:kern w:val="2"/>
          <w:sz w:val="24"/>
          <w:szCs w:val="24"/>
          <w:lang w:val="en-ID"/>
          <w14:ligatures w14:val="standardContextual"/>
        </w:rPr>
      </w:pPr>
      <w:r w:rsidRPr="00FA3CF6">
        <w:rPr>
          <w:rFonts w:ascii="Garamond" w:hAnsi="Garamond" w:cs="Times New Roman"/>
          <w:kern w:val="2"/>
          <w:sz w:val="24"/>
          <w:szCs w:val="24"/>
          <w:lang w:val="en-ID"/>
          <w14:ligatures w14:val="standardContextual"/>
        </w:rPr>
        <w:t>Standardization of LBM measurement methodology using CT scan to ensure higher data comparability and validity.</w:t>
      </w:r>
    </w:p>
    <w:p w14:paraId="7810835E" w14:textId="77777777" w:rsidR="00A64B54" w:rsidRDefault="00A64B54" w:rsidP="00EC4C39">
      <w:pPr>
        <w:numPr>
          <w:ilvl w:val="1"/>
          <w:numId w:val="23"/>
        </w:numPr>
        <w:ind w:left="284" w:hanging="284"/>
        <w:jc w:val="both"/>
        <w:rPr>
          <w:rFonts w:ascii="Garamond" w:hAnsi="Garamond" w:cs="Times New Roman"/>
          <w:kern w:val="2"/>
          <w:sz w:val="24"/>
          <w:szCs w:val="24"/>
          <w:lang w:val="en-ID"/>
          <w14:ligatures w14:val="standardContextual"/>
        </w:rPr>
      </w:pPr>
      <w:r w:rsidRPr="00FA3CF6">
        <w:rPr>
          <w:rFonts w:ascii="Garamond" w:hAnsi="Garamond" w:cs="Times New Roman"/>
          <w:kern w:val="2"/>
          <w:sz w:val="24"/>
          <w:szCs w:val="24"/>
          <w:lang w:val="en-ID"/>
          <w14:ligatures w14:val="standardContextual"/>
        </w:rPr>
        <w:t>Overall, definitive evidence regarding the effectiveness of physical exercise on OS still awaits the publication of the results from these protocols.</w:t>
      </w:r>
    </w:p>
    <w:p w14:paraId="69D6A282" w14:textId="77777777" w:rsidR="00FA3CF6" w:rsidRPr="00FA3CF6" w:rsidRDefault="00FA3CF6" w:rsidP="00EC4C39">
      <w:pPr>
        <w:ind w:left="284" w:firstLine="0"/>
        <w:jc w:val="both"/>
        <w:rPr>
          <w:rFonts w:ascii="Garamond" w:hAnsi="Garamond" w:cs="Times New Roman"/>
          <w:kern w:val="2"/>
          <w:sz w:val="24"/>
          <w:szCs w:val="24"/>
          <w:lang w:val="en-ID"/>
          <w14:ligatures w14:val="standardContextual"/>
        </w:rPr>
      </w:pPr>
    </w:p>
    <w:p w14:paraId="2C8C9586" w14:textId="77777777" w:rsidR="005E3BCD" w:rsidRPr="00FA3CF6" w:rsidRDefault="00A64B54" w:rsidP="00EC4C39">
      <w:pPr>
        <w:ind w:firstLine="0"/>
        <w:contextualSpacing/>
        <w:jc w:val="both"/>
        <w:rPr>
          <w:rFonts w:ascii="Garamond" w:hAnsi="Garamond" w:cs="Times New Roman"/>
          <w:i/>
          <w:iCs/>
          <w:kern w:val="2"/>
          <w:sz w:val="24"/>
          <w:szCs w:val="24"/>
          <w:lang w:val="en-ID"/>
          <w14:ligatures w14:val="standardContextual"/>
        </w:rPr>
      </w:pPr>
      <w:r w:rsidRPr="00FA3CF6">
        <w:rPr>
          <w:rFonts w:ascii="Garamond" w:hAnsi="Garamond" w:cs="Times New Roman"/>
          <w:b/>
          <w:bCs/>
          <w:i/>
          <w:iCs/>
          <w:kern w:val="2"/>
          <w:sz w:val="24"/>
          <w:szCs w:val="24"/>
          <w:lang w:val="en-ID"/>
          <w14:ligatures w14:val="standardContextual"/>
        </w:rPr>
        <w:t>Limitations of the Review.</w:t>
      </w:r>
      <w:r w:rsidRPr="00FA3CF6">
        <w:rPr>
          <w:rFonts w:ascii="Garamond" w:hAnsi="Garamond" w:cs="Times New Roman"/>
          <w:i/>
          <w:iCs/>
          <w:kern w:val="2"/>
          <w:sz w:val="24"/>
          <w:szCs w:val="24"/>
          <w:lang w:val="en-ID"/>
          <w14:ligatures w14:val="standardContextual"/>
        </w:rPr>
        <w:t xml:space="preserve"> </w:t>
      </w:r>
    </w:p>
    <w:p w14:paraId="28511092" w14:textId="77777777" w:rsidR="00A64B54" w:rsidRPr="00FA3CF6" w:rsidRDefault="00A64B54" w:rsidP="00EC4C39">
      <w:pPr>
        <w:ind w:firstLine="720"/>
        <w:contextualSpacing/>
        <w:jc w:val="both"/>
        <w:rPr>
          <w:rFonts w:ascii="Garamond" w:hAnsi="Garamond" w:cs="Times New Roman"/>
          <w:kern w:val="2"/>
          <w:sz w:val="24"/>
          <w:szCs w:val="24"/>
          <w:lang w:val="en-ID"/>
          <w14:ligatures w14:val="standardContextual"/>
        </w:rPr>
      </w:pPr>
      <w:r w:rsidRPr="00FA3CF6">
        <w:rPr>
          <w:rFonts w:ascii="Garamond" w:hAnsi="Garamond" w:cs="Times New Roman"/>
          <w:kern w:val="2"/>
          <w:sz w:val="24"/>
          <w:szCs w:val="24"/>
          <w:lang w:val="en-ID"/>
          <w14:ligatures w14:val="standardContextual"/>
        </w:rPr>
        <w:t>This Clinical Evidence Review has one inherent major limitation: its reliance on study protocols rather than the results of completed Randomized Controlled Trials (RCTs). This limitation means that all presented findings and analyzes are methodological and predictive, not based on actual outcome data. Although we can assess design quality (Risk of Bias), we cannot conclude the efficacy or safety of the intervention. A second limitation relates to Publication Bias. Although all included protocols are officially registered in clinical trial registries, there is a possibility that RCTs with negative results, or trials that failed to secure funding, may not yet have been published as protocols. consequently, this review may not cover all relevant physical exercise studies in the advanced GI cancer patient population, potentially biasing the overall picture of ongoing evidence.</w:t>
      </w:r>
    </w:p>
    <w:p w14:paraId="48F5712D" w14:textId="77777777" w:rsidR="00A64B54" w:rsidRPr="00FA3CF6" w:rsidRDefault="00A64B54" w:rsidP="00EC4C39">
      <w:pPr>
        <w:ind w:firstLine="0"/>
        <w:jc w:val="both"/>
        <w:rPr>
          <w:rFonts w:ascii="Garamond" w:eastAsia="Garamond" w:hAnsi="Garamond" w:cstheme="minorBidi"/>
          <w:b/>
          <w:sz w:val="24"/>
          <w:szCs w:val="24"/>
          <w:lang w:val="en-ID"/>
        </w:rPr>
      </w:pPr>
    </w:p>
    <w:p w14:paraId="0B03B7C6" w14:textId="77777777" w:rsidR="00A64B54" w:rsidRPr="00FA3CF6" w:rsidRDefault="00A64B54" w:rsidP="00EC4C39">
      <w:pPr>
        <w:ind w:firstLine="0"/>
        <w:jc w:val="both"/>
        <w:rPr>
          <w:rFonts w:ascii="Garamond" w:eastAsia="Garamond" w:hAnsi="Garamond" w:cstheme="minorBidi"/>
          <w:b/>
          <w:sz w:val="24"/>
          <w:szCs w:val="24"/>
          <w:lang w:val="id-ID"/>
        </w:rPr>
      </w:pPr>
      <w:r w:rsidRPr="00FA3CF6">
        <w:rPr>
          <w:rFonts w:ascii="Garamond" w:eastAsia="Garamond" w:hAnsi="Garamond" w:cstheme="minorBidi"/>
          <w:b/>
          <w:sz w:val="24"/>
          <w:szCs w:val="24"/>
          <w:lang w:val="id-ID"/>
        </w:rPr>
        <w:t>CONCLUSION</w:t>
      </w:r>
    </w:p>
    <w:p w14:paraId="28ADD40A" w14:textId="77777777" w:rsidR="00A64B54" w:rsidRPr="00FA3CF6" w:rsidRDefault="00A64B54" w:rsidP="00EC4C39">
      <w:pPr>
        <w:ind w:firstLine="720"/>
        <w:jc w:val="both"/>
        <w:rPr>
          <w:rFonts w:ascii="Garamond" w:eastAsia="Garamond" w:hAnsi="Garamond" w:cstheme="minorBidi"/>
          <w:bCs/>
          <w:sz w:val="24"/>
          <w:szCs w:val="24"/>
          <w:lang w:val="id-ID"/>
        </w:rPr>
      </w:pPr>
      <w:r w:rsidRPr="00FA3CF6">
        <w:rPr>
          <w:rFonts w:ascii="Garamond" w:eastAsia="Garamond" w:hAnsi="Garamond" w:cstheme="minorBidi"/>
          <w:bCs/>
          <w:sz w:val="24"/>
          <w:szCs w:val="24"/>
          <w:lang w:val="id-ID"/>
        </w:rPr>
        <w:t>This evidence-based clinical review found that ongoing RCT protocols such as RELEVIUM, BiCyCLE NMES, and REBUILD demonstrate promising methodological designs for structured exercise interventions in patients with advanced gastrointestinal cancer with cachexia, although definitive evidence on Overall Survival (OS) remains limited as only one protocol lists OS as a secondary outcome. A RoB 2.0 assessment revealed a high risk of bias in the blinding domain for two protocols due to the volitional nature of the intervention, as well as significant heterogeneity in Lean Body Mass (LBM) measurements between CT scan (gold standard) and BIA, which hinders future comparisons and meta-analyses. These findings highlight a crucial evidence gap at the Level of Evidence 1b level, where surrogate outcomes such as QoL and LBM dominate, while OS is rarely prioritized.</w:t>
      </w:r>
    </w:p>
    <w:p w14:paraId="2FAC4472" w14:textId="77777777" w:rsidR="00A64B54" w:rsidRPr="00FA3CF6" w:rsidRDefault="00A64B54" w:rsidP="00EC4C39">
      <w:pPr>
        <w:ind w:firstLine="720"/>
        <w:jc w:val="both"/>
        <w:rPr>
          <w:rFonts w:ascii="Garamond" w:eastAsia="Garamond" w:hAnsi="Garamond" w:cstheme="minorBidi"/>
          <w:bCs/>
          <w:sz w:val="24"/>
          <w:szCs w:val="24"/>
          <w:lang w:val="id-ID"/>
        </w:rPr>
      </w:pPr>
      <w:r w:rsidRPr="00FA3CF6">
        <w:rPr>
          <w:rFonts w:ascii="Garamond" w:eastAsia="Garamond" w:hAnsi="Garamond" w:cstheme="minorBidi"/>
          <w:bCs/>
          <w:sz w:val="24"/>
          <w:szCs w:val="24"/>
          <w:lang w:val="id-ID"/>
        </w:rPr>
        <w:t xml:space="preserve">However, this study has major limitations, including its reliance on a protocol rather than the results of a full RCT, making the analysis predictive without actual outcome data. Furthermore, there is </w:t>
      </w:r>
      <w:r w:rsidRPr="00FA3CF6">
        <w:rPr>
          <w:rFonts w:ascii="Garamond" w:eastAsia="Garamond" w:hAnsi="Garamond" w:cstheme="minorBidi"/>
          <w:bCs/>
          <w:sz w:val="24"/>
          <w:szCs w:val="24"/>
          <w:lang w:val="id-ID"/>
        </w:rPr>
        <w:lastRenderedPageBreak/>
        <w:t>potential publication bias from unpublished negative studies. Practical implications encourage clinicians to integrate multimodal approaches such as NMES for frail patients while awaiting trial results. Suggestions for future research include standardizing OS as a mandatory outcome, using CT scans for LBM, and calculating NNT to generate stronger and more clinically relevant comparative evidence.</w:t>
      </w:r>
    </w:p>
    <w:p w14:paraId="7ECAA7D2" w14:textId="77777777" w:rsidR="00A64B54" w:rsidRPr="00FA3CF6" w:rsidRDefault="00A64B54" w:rsidP="00EC4C39">
      <w:pPr>
        <w:ind w:firstLine="720"/>
        <w:jc w:val="both"/>
        <w:rPr>
          <w:rFonts w:ascii="Garamond" w:eastAsia="Garamond" w:hAnsi="Garamond" w:cstheme="minorBidi"/>
          <w:bCs/>
          <w:sz w:val="24"/>
          <w:szCs w:val="24"/>
          <w:lang w:val="id-ID"/>
        </w:rPr>
      </w:pPr>
    </w:p>
    <w:p w14:paraId="3F951E66" w14:textId="77777777" w:rsidR="00A64B54" w:rsidRPr="00FA3CF6" w:rsidRDefault="00A64B54" w:rsidP="00EC4C39">
      <w:pPr>
        <w:ind w:firstLine="0"/>
        <w:jc w:val="both"/>
        <w:rPr>
          <w:rFonts w:ascii="Garamond" w:eastAsia="Garamond" w:hAnsi="Garamond" w:cstheme="minorBidi"/>
          <w:b/>
          <w:sz w:val="24"/>
          <w:szCs w:val="24"/>
          <w:lang w:val="is-IS"/>
        </w:rPr>
      </w:pPr>
      <w:r w:rsidRPr="00FA3CF6">
        <w:rPr>
          <w:rFonts w:ascii="Garamond" w:eastAsia="Garamond" w:hAnsi="Garamond" w:cstheme="minorBidi"/>
          <w:b/>
          <w:sz w:val="24"/>
          <w:szCs w:val="24"/>
          <w:lang w:val="is-IS"/>
        </w:rPr>
        <w:t>REFERENCES</w:t>
      </w:r>
    </w:p>
    <w:p w14:paraId="56BBF350"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pt-BR"/>
        </w:rPr>
      </w:pPr>
      <w:r w:rsidRPr="00FA3CF6">
        <w:rPr>
          <w:rFonts w:ascii="Garamond" w:eastAsia="Garamond" w:hAnsi="Garamond" w:cstheme="minorBidi"/>
          <w:color w:val="000000"/>
          <w:sz w:val="24"/>
          <w:szCs w:val="24"/>
          <w:lang w:val="en-ID"/>
        </w:rPr>
        <w:t xml:space="preserve">Arends, J., </w:t>
      </w:r>
      <w:proofErr w:type="spellStart"/>
      <w:r w:rsidRPr="00FA3CF6">
        <w:rPr>
          <w:rFonts w:ascii="Garamond" w:eastAsia="Garamond" w:hAnsi="Garamond" w:cstheme="minorBidi"/>
          <w:color w:val="000000"/>
          <w:sz w:val="24"/>
          <w:szCs w:val="24"/>
          <w:lang w:val="en-ID"/>
        </w:rPr>
        <w:t>Baracos</w:t>
      </w:r>
      <w:proofErr w:type="spellEnd"/>
      <w:r w:rsidRPr="00FA3CF6">
        <w:rPr>
          <w:rFonts w:ascii="Garamond" w:eastAsia="Garamond" w:hAnsi="Garamond" w:cstheme="minorBidi"/>
          <w:color w:val="000000"/>
          <w:sz w:val="24"/>
          <w:szCs w:val="24"/>
          <w:lang w:val="en-ID"/>
        </w:rPr>
        <w:t xml:space="preserve">, V., Bertz, H., Bozzetti, F., Calder, P.C., Deutz, NEP, ... &amp; </w:t>
      </w:r>
      <w:proofErr w:type="spellStart"/>
      <w:r w:rsidRPr="00FA3CF6">
        <w:rPr>
          <w:rFonts w:ascii="Garamond" w:eastAsia="Garamond" w:hAnsi="Garamond" w:cstheme="minorBidi"/>
          <w:color w:val="000000"/>
          <w:sz w:val="24"/>
          <w:szCs w:val="24"/>
          <w:lang w:val="en-ID"/>
        </w:rPr>
        <w:t>Muscaritoli</w:t>
      </w:r>
      <w:proofErr w:type="spellEnd"/>
      <w:r w:rsidRPr="00FA3CF6">
        <w:rPr>
          <w:rFonts w:ascii="Garamond" w:eastAsia="Garamond" w:hAnsi="Garamond" w:cstheme="minorBidi"/>
          <w:color w:val="000000"/>
          <w:sz w:val="24"/>
          <w:szCs w:val="24"/>
          <w:lang w:val="en-ID"/>
        </w:rPr>
        <w:t xml:space="preserve">, M. (2017). ESPEN guidelines on nutrition in cancer patients. </w:t>
      </w:r>
      <w:r w:rsidRPr="00FA3CF6">
        <w:rPr>
          <w:rFonts w:ascii="Garamond" w:eastAsia="Garamond" w:hAnsi="Garamond" w:cstheme="minorBidi"/>
          <w:color w:val="000000"/>
          <w:sz w:val="24"/>
          <w:szCs w:val="24"/>
          <w:lang w:val="pt-BR"/>
        </w:rPr>
        <w:t>Clinical Nutrition, 36(1), 11–48.</w:t>
      </w:r>
      <w:r w:rsidRPr="00FA3CF6">
        <w:rPr>
          <w:sz w:val="24"/>
          <w:szCs w:val="24"/>
        </w:rPr>
        <w:fldChar w:fldCharType="begin"/>
      </w:r>
      <w:r w:rsidRPr="00FA3CF6">
        <w:rPr>
          <w:sz w:val="24"/>
          <w:szCs w:val="24"/>
          <w:lang w:val="pt-BR"/>
        </w:rPr>
        <w:instrText>HYPERLINK "https://doi.org/10.1016/j.clnu.2016.07.015" \t "_blank"</w:instrText>
      </w:r>
      <w:r w:rsidRPr="00FA3CF6">
        <w:rPr>
          <w:sz w:val="24"/>
          <w:szCs w:val="24"/>
        </w:rPr>
      </w:r>
      <w:r w:rsidRPr="00FA3CF6">
        <w:rPr>
          <w:sz w:val="24"/>
          <w:szCs w:val="24"/>
        </w:rPr>
        <w:fldChar w:fldCharType="separate"/>
      </w:r>
      <w:r w:rsidRPr="00FA3CF6">
        <w:rPr>
          <w:rStyle w:val="Hyperlink"/>
          <w:rFonts w:ascii="Garamond" w:eastAsia="Garamond" w:hAnsi="Garamond" w:cstheme="minorBidi"/>
          <w:b/>
          <w:bCs/>
          <w:position w:val="0"/>
          <w:sz w:val="24"/>
          <w:szCs w:val="24"/>
          <w:lang w:val="pt-BR"/>
        </w:rPr>
        <w:t>https://doi.org/10.1016/j.clnu.2016.07.015</w:t>
      </w:r>
      <w:r w:rsidRPr="00FA3CF6">
        <w:rPr>
          <w:sz w:val="24"/>
          <w:szCs w:val="24"/>
        </w:rPr>
        <w:fldChar w:fldCharType="end"/>
      </w:r>
      <w:r w:rsidRPr="00FA3CF6">
        <w:rPr>
          <w:rFonts w:ascii="Times New Roman" w:eastAsia="Garamond" w:hAnsi="Times New Roman" w:cs="Times New Roman"/>
          <w:color w:val="000000"/>
          <w:sz w:val="24"/>
          <w:szCs w:val="24"/>
          <w:lang w:val="pt-BR"/>
        </w:rPr>
        <w:t>​</w:t>
      </w:r>
    </w:p>
    <w:p w14:paraId="0372301D"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pt-BR"/>
        </w:rPr>
        <w:t xml:space="preserve">Argilés, J.M., Busquets, S., Stemmler, B., &amp; López-Soriano, F.J. (2021). </w:t>
      </w:r>
      <w:r w:rsidRPr="00FA3CF6">
        <w:rPr>
          <w:rFonts w:ascii="Garamond" w:eastAsia="Garamond" w:hAnsi="Garamond" w:cstheme="minorBidi"/>
          <w:color w:val="000000"/>
          <w:sz w:val="24"/>
          <w:szCs w:val="24"/>
          <w:lang w:val="en-ID"/>
        </w:rPr>
        <w:t>Cancer cachexia: Understanding the molecular basis. Pharmacological Research, 71, 153–161.</w:t>
      </w:r>
      <w:hyperlink r:id="rId16" w:tgtFrame="_blank" w:history="1">
        <w:r w:rsidRPr="00FA3CF6">
          <w:rPr>
            <w:rStyle w:val="Hyperlink"/>
            <w:rFonts w:ascii="Garamond" w:eastAsia="Garamond" w:hAnsi="Garamond" w:cstheme="minorBidi"/>
            <w:b/>
            <w:bCs/>
            <w:position w:val="0"/>
            <w:sz w:val="24"/>
            <w:szCs w:val="24"/>
            <w:lang w:val="en-ID"/>
          </w:rPr>
          <w:t>https://doi.org/10.1016/j.phrs.2012.08.007</w:t>
        </w:r>
      </w:hyperlink>
    </w:p>
    <w:p w14:paraId="4EAC792A"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proofErr w:type="spellStart"/>
      <w:r w:rsidRPr="00FA3CF6">
        <w:rPr>
          <w:rFonts w:ascii="Garamond" w:eastAsia="Garamond" w:hAnsi="Garamond" w:cstheme="minorBidi"/>
          <w:color w:val="000000"/>
          <w:sz w:val="24"/>
          <w:szCs w:val="24"/>
          <w:lang w:val="en-ID"/>
        </w:rPr>
        <w:t>Avancini</w:t>
      </w:r>
      <w:proofErr w:type="spellEnd"/>
      <w:r w:rsidRPr="00FA3CF6">
        <w:rPr>
          <w:rFonts w:ascii="Garamond" w:eastAsia="Garamond" w:hAnsi="Garamond" w:cstheme="minorBidi"/>
          <w:color w:val="000000"/>
          <w:sz w:val="24"/>
          <w:szCs w:val="24"/>
          <w:lang w:val="en-ID"/>
        </w:rPr>
        <w:t xml:space="preserve">, A., Sartori, G., </w:t>
      </w:r>
      <w:proofErr w:type="spellStart"/>
      <w:r w:rsidRPr="00FA3CF6">
        <w:rPr>
          <w:rFonts w:ascii="Garamond" w:eastAsia="Garamond" w:hAnsi="Garamond" w:cstheme="minorBidi"/>
          <w:color w:val="000000"/>
          <w:sz w:val="24"/>
          <w:szCs w:val="24"/>
          <w:lang w:val="en-ID"/>
        </w:rPr>
        <w:t>Gkountakos</w:t>
      </w:r>
      <w:proofErr w:type="spellEnd"/>
      <w:r w:rsidRPr="00FA3CF6">
        <w:rPr>
          <w:rFonts w:ascii="Garamond" w:eastAsia="Garamond" w:hAnsi="Garamond" w:cstheme="minorBidi"/>
          <w:color w:val="000000"/>
          <w:sz w:val="24"/>
          <w:szCs w:val="24"/>
          <w:lang w:val="en-ID"/>
        </w:rPr>
        <w:t xml:space="preserve">, A., Casali, M., </w:t>
      </w:r>
      <w:proofErr w:type="spellStart"/>
      <w:r w:rsidRPr="00FA3CF6">
        <w:rPr>
          <w:rFonts w:ascii="Garamond" w:eastAsia="Garamond" w:hAnsi="Garamond" w:cstheme="minorBidi"/>
          <w:color w:val="000000"/>
          <w:sz w:val="24"/>
          <w:szCs w:val="24"/>
          <w:lang w:val="en-ID"/>
        </w:rPr>
        <w:t>Trestini</w:t>
      </w:r>
      <w:proofErr w:type="spellEnd"/>
      <w:r w:rsidRPr="00FA3CF6">
        <w:rPr>
          <w:rFonts w:ascii="Garamond" w:eastAsia="Garamond" w:hAnsi="Garamond" w:cstheme="minorBidi"/>
          <w:color w:val="000000"/>
          <w:sz w:val="24"/>
          <w:szCs w:val="24"/>
          <w:lang w:val="en-ID"/>
        </w:rPr>
        <w:t xml:space="preserve">, I., </w:t>
      </w:r>
      <w:proofErr w:type="spellStart"/>
      <w:r w:rsidRPr="00FA3CF6">
        <w:rPr>
          <w:rFonts w:ascii="Garamond" w:eastAsia="Garamond" w:hAnsi="Garamond" w:cstheme="minorBidi"/>
          <w:color w:val="000000"/>
          <w:sz w:val="24"/>
          <w:szCs w:val="24"/>
          <w:lang w:val="en-ID"/>
        </w:rPr>
        <w:t>Tregnago</w:t>
      </w:r>
      <w:proofErr w:type="spellEnd"/>
      <w:r w:rsidRPr="00FA3CF6">
        <w:rPr>
          <w:rFonts w:ascii="Garamond" w:eastAsia="Garamond" w:hAnsi="Garamond" w:cstheme="minorBidi"/>
          <w:color w:val="000000"/>
          <w:sz w:val="24"/>
          <w:szCs w:val="24"/>
          <w:lang w:val="en-ID"/>
        </w:rPr>
        <w:t xml:space="preserve">, D., ... &amp; </w:t>
      </w:r>
      <w:proofErr w:type="spellStart"/>
      <w:r w:rsidRPr="00FA3CF6">
        <w:rPr>
          <w:rFonts w:ascii="Garamond" w:eastAsia="Garamond" w:hAnsi="Garamond" w:cstheme="minorBidi"/>
          <w:color w:val="000000"/>
          <w:sz w:val="24"/>
          <w:szCs w:val="24"/>
          <w:lang w:val="en-ID"/>
        </w:rPr>
        <w:t>Milella</w:t>
      </w:r>
      <w:proofErr w:type="spellEnd"/>
      <w:r w:rsidRPr="00FA3CF6">
        <w:rPr>
          <w:rFonts w:ascii="Garamond" w:eastAsia="Garamond" w:hAnsi="Garamond" w:cstheme="minorBidi"/>
          <w:color w:val="000000"/>
          <w:sz w:val="24"/>
          <w:szCs w:val="24"/>
          <w:lang w:val="en-ID"/>
        </w:rPr>
        <w:t>, M. (2020). Physical activity and exercise in lung cancer care: Will promises be fulfilled? The Oncologist, 25(3), e555–e569.</w:t>
      </w:r>
      <w:hyperlink r:id="rId17" w:tgtFrame="_blank" w:history="1">
        <w:r w:rsidRPr="00FA3CF6">
          <w:rPr>
            <w:rStyle w:val="Hyperlink"/>
            <w:rFonts w:ascii="Garamond" w:eastAsia="Garamond" w:hAnsi="Garamond" w:cstheme="minorBidi"/>
            <w:b/>
            <w:bCs/>
            <w:position w:val="0"/>
            <w:sz w:val="24"/>
            <w:szCs w:val="24"/>
            <w:lang w:val="en-ID"/>
          </w:rPr>
          <w:t>https://doi.org/10.1634/theoncologist.2019-0501</w:t>
        </w:r>
      </w:hyperlink>
      <w:r w:rsidRPr="00FA3CF6">
        <w:rPr>
          <w:rFonts w:ascii="Times New Roman" w:eastAsia="Garamond" w:hAnsi="Times New Roman" w:cs="Times New Roman"/>
          <w:color w:val="000000"/>
          <w:sz w:val="24"/>
          <w:szCs w:val="24"/>
          <w:lang w:val="en-ID"/>
        </w:rPr>
        <w:t>​</w:t>
      </w:r>
    </w:p>
    <w:p w14:paraId="49B115AD"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proofErr w:type="spellStart"/>
      <w:r w:rsidRPr="00FA3CF6">
        <w:rPr>
          <w:rFonts w:ascii="Garamond" w:eastAsia="Garamond" w:hAnsi="Garamond" w:cstheme="minorBidi"/>
          <w:color w:val="000000"/>
          <w:sz w:val="24"/>
          <w:szCs w:val="24"/>
          <w:lang w:val="en-ID"/>
        </w:rPr>
        <w:t>Baracos</w:t>
      </w:r>
      <w:proofErr w:type="spellEnd"/>
      <w:r w:rsidRPr="00FA3CF6">
        <w:rPr>
          <w:rFonts w:ascii="Garamond" w:eastAsia="Garamond" w:hAnsi="Garamond" w:cstheme="minorBidi"/>
          <w:color w:val="000000"/>
          <w:sz w:val="24"/>
          <w:szCs w:val="24"/>
          <w:lang w:val="en-ID"/>
        </w:rPr>
        <w:t xml:space="preserve">, V.E., Martin, L., </w:t>
      </w:r>
      <w:proofErr w:type="spellStart"/>
      <w:r w:rsidRPr="00FA3CF6">
        <w:rPr>
          <w:rFonts w:ascii="Garamond" w:eastAsia="Garamond" w:hAnsi="Garamond" w:cstheme="minorBidi"/>
          <w:color w:val="000000"/>
          <w:sz w:val="24"/>
          <w:szCs w:val="24"/>
          <w:lang w:val="en-ID"/>
        </w:rPr>
        <w:t>Korc</w:t>
      </w:r>
      <w:proofErr w:type="spellEnd"/>
      <w:r w:rsidRPr="00FA3CF6">
        <w:rPr>
          <w:rFonts w:ascii="Garamond" w:eastAsia="Garamond" w:hAnsi="Garamond" w:cstheme="minorBidi"/>
          <w:color w:val="000000"/>
          <w:sz w:val="24"/>
          <w:szCs w:val="24"/>
          <w:lang w:val="en-ID"/>
        </w:rPr>
        <w:t>, M., Guttridge, D.C., &amp; Fearon, K.C.H. (2018). Cancer-associated cachexia. Nature Reviews Disease Primers, 4, 17105.</w:t>
      </w:r>
      <w:hyperlink r:id="rId18" w:tgtFrame="_blank" w:history="1">
        <w:r w:rsidRPr="00FA3CF6">
          <w:rPr>
            <w:rStyle w:val="Hyperlink"/>
            <w:rFonts w:ascii="Garamond" w:eastAsia="Garamond" w:hAnsi="Garamond" w:cstheme="minorBidi"/>
            <w:b/>
            <w:bCs/>
            <w:position w:val="0"/>
            <w:sz w:val="24"/>
            <w:szCs w:val="24"/>
            <w:lang w:val="en-ID"/>
          </w:rPr>
          <w:t>https://doi.org/10.1038/nrdp.2017.105</w:t>
        </w:r>
      </w:hyperlink>
      <w:r w:rsidRPr="00FA3CF6">
        <w:rPr>
          <w:rFonts w:ascii="Times New Roman" w:eastAsia="Garamond" w:hAnsi="Times New Roman" w:cs="Times New Roman"/>
          <w:color w:val="000000"/>
          <w:sz w:val="24"/>
          <w:szCs w:val="24"/>
          <w:lang w:val="en-ID"/>
        </w:rPr>
        <w:t>​</w:t>
      </w:r>
    </w:p>
    <w:p w14:paraId="29996A63"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en-ID"/>
        </w:rPr>
        <w:t>Bray, F., Ferlay, J., Soerjomataram, I., Siegel, R.L., Torre, L.A., &amp; Jemal, A. (2018). Global cancer statistics 2018: GLOBOCAN estimates of incidence and mortality worldwide for 36 cancers in 185 countries. CA: A Cancer Journal for Clinicians, 68(6), 394–424.</w:t>
      </w:r>
      <w:hyperlink r:id="rId19" w:tgtFrame="_blank" w:history="1">
        <w:r w:rsidRPr="00FA3CF6">
          <w:rPr>
            <w:rStyle w:val="Hyperlink"/>
            <w:rFonts w:ascii="Garamond" w:eastAsia="Garamond" w:hAnsi="Garamond" w:cstheme="minorBidi"/>
            <w:b/>
            <w:bCs/>
            <w:position w:val="0"/>
            <w:sz w:val="24"/>
            <w:szCs w:val="24"/>
            <w:lang w:val="en-ID"/>
          </w:rPr>
          <w:t>https://doi.org/10.3322/caac.21492</w:t>
        </w:r>
      </w:hyperlink>
      <w:r w:rsidRPr="00FA3CF6">
        <w:rPr>
          <w:rFonts w:ascii="Times New Roman" w:eastAsia="Garamond" w:hAnsi="Times New Roman" w:cs="Times New Roman"/>
          <w:color w:val="000000"/>
          <w:sz w:val="24"/>
          <w:szCs w:val="24"/>
          <w:lang w:val="en-ID"/>
        </w:rPr>
        <w:t>​</w:t>
      </w:r>
    </w:p>
    <w:p w14:paraId="7D9317F3"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en-ID"/>
        </w:rPr>
        <w:t>Campbell, K.L., Winters-Stone, K.M., Wiskemann, J., May, A.M., Schwartz, A.L., Courneya, K.S., ... &amp; Patel, A.V. (2019). Exercise guidelines for cancer survivors: Consensus statement from international multidisciplinary roundtable. Medicine &amp; Science in Sports &amp; Exercise, 51(11), 2375–2390.</w:t>
      </w:r>
      <w:hyperlink r:id="rId20" w:tgtFrame="_blank" w:history="1">
        <w:r w:rsidRPr="00FA3CF6">
          <w:rPr>
            <w:rStyle w:val="Hyperlink"/>
            <w:rFonts w:ascii="Garamond" w:eastAsia="Garamond" w:hAnsi="Garamond" w:cstheme="minorBidi"/>
            <w:b/>
            <w:bCs/>
            <w:position w:val="0"/>
            <w:sz w:val="24"/>
            <w:szCs w:val="24"/>
            <w:lang w:val="en-ID"/>
          </w:rPr>
          <w:t>https://doi.org/10.1249/MSS.0000000000002116</w:t>
        </w:r>
      </w:hyperlink>
      <w:r w:rsidRPr="00FA3CF6">
        <w:rPr>
          <w:rFonts w:ascii="Times New Roman" w:eastAsia="Garamond" w:hAnsi="Times New Roman" w:cs="Times New Roman"/>
          <w:color w:val="000000"/>
          <w:sz w:val="24"/>
          <w:szCs w:val="24"/>
          <w:lang w:val="en-ID"/>
        </w:rPr>
        <w:t>​</w:t>
      </w:r>
    </w:p>
    <w:p w14:paraId="0F0ACA21"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en-ID"/>
        </w:rPr>
        <w:t xml:space="preserve">Creswell, J. W., &amp; Creswell, J. D. (2022). Research design: Qualitative, quantitative, and mixed methods approaches (5th ed.). SAGE </w:t>
      </w:r>
      <w:proofErr w:type="spellStart"/>
      <w:r w:rsidRPr="00FA3CF6">
        <w:rPr>
          <w:rFonts w:ascii="Garamond" w:eastAsia="Garamond" w:hAnsi="Garamond" w:cstheme="minorBidi"/>
          <w:color w:val="000000"/>
          <w:sz w:val="24"/>
          <w:szCs w:val="24"/>
          <w:lang w:val="en-ID"/>
        </w:rPr>
        <w:t>Publications.</w:t>
      </w:r>
      <w:hyperlink r:id="rId21" w:tgtFrame="_blank" w:history="1">
        <w:r w:rsidRPr="00FA3CF6">
          <w:rPr>
            <w:rStyle w:val="Hyperlink"/>
            <w:rFonts w:ascii="Garamond" w:eastAsia="Garamond" w:hAnsi="Garamond" w:cstheme="minorBidi"/>
            <w:b/>
            <w:bCs/>
            <w:position w:val="0"/>
            <w:sz w:val="24"/>
            <w:szCs w:val="24"/>
            <w:lang w:val="en-ID"/>
          </w:rPr>
          <w:t>https</w:t>
        </w:r>
        <w:proofErr w:type="spellEnd"/>
        <w:r w:rsidRPr="00FA3CF6">
          <w:rPr>
            <w:rStyle w:val="Hyperlink"/>
            <w:rFonts w:ascii="Garamond" w:eastAsia="Garamond" w:hAnsi="Garamond" w:cstheme="minorBidi"/>
            <w:b/>
            <w:bCs/>
            <w:position w:val="0"/>
            <w:sz w:val="24"/>
            <w:szCs w:val="24"/>
            <w:lang w:val="en-ID"/>
          </w:rPr>
          <w:t>://doi.org/10.4135/9781071817958</w:t>
        </w:r>
      </w:hyperlink>
      <w:r w:rsidRPr="00FA3CF6">
        <w:rPr>
          <w:rFonts w:ascii="Times New Roman" w:eastAsia="Garamond" w:hAnsi="Times New Roman" w:cs="Times New Roman"/>
          <w:color w:val="000000"/>
          <w:sz w:val="24"/>
          <w:szCs w:val="24"/>
          <w:lang w:val="en-ID"/>
        </w:rPr>
        <w:t>​</w:t>
      </w:r>
    </w:p>
    <w:p w14:paraId="2BF9096A"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proofErr w:type="spellStart"/>
      <w:r w:rsidRPr="00FA3CF6">
        <w:rPr>
          <w:rFonts w:ascii="Garamond" w:eastAsia="Garamond" w:hAnsi="Garamond" w:cstheme="minorBidi"/>
          <w:color w:val="000000"/>
          <w:sz w:val="24"/>
          <w:szCs w:val="24"/>
          <w:lang w:val="en-ID"/>
        </w:rPr>
        <w:t>Emzir</w:t>
      </w:r>
      <w:proofErr w:type="spellEnd"/>
      <w:r w:rsidRPr="00FA3CF6">
        <w:rPr>
          <w:rFonts w:ascii="Garamond" w:eastAsia="Garamond" w:hAnsi="Garamond" w:cstheme="minorBidi"/>
          <w:color w:val="000000"/>
          <w:sz w:val="24"/>
          <w:szCs w:val="24"/>
          <w:lang w:val="en-ID"/>
        </w:rPr>
        <w:t xml:space="preserve">. (2021). Educational research methodology: Quantitative and qualitative. </w:t>
      </w:r>
      <w:proofErr w:type="spellStart"/>
      <w:r w:rsidRPr="00FA3CF6">
        <w:rPr>
          <w:rFonts w:ascii="Garamond" w:eastAsia="Garamond" w:hAnsi="Garamond" w:cstheme="minorBidi"/>
          <w:color w:val="000000"/>
          <w:sz w:val="24"/>
          <w:szCs w:val="24"/>
          <w:lang w:val="en-ID"/>
        </w:rPr>
        <w:t>Rajagrafindo</w:t>
      </w:r>
      <w:proofErr w:type="spellEnd"/>
      <w:r w:rsidRPr="00FA3CF6">
        <w:rPr>
          <w:rFonts w:ascii="Garamond" w:eastAsia="Garamond" w:hAnsi="Garamond" w:cstheme="minorBidi"/>
          <w:color w:val="000000"/>
          <w:sz w:val="24"/>
          <w:szCs w:val="24"/>
          <w:lang w:val="en-ID"/>
        </w:rPr>
        <w:t xml:space="preserve"> Persada.</w:t>
      </w:r>
    </w:p>
    <w:p w14:paraId="0BEAEE8B"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en-ID"/>
        </w:rPr>
        <w:t>Fearon, K. C. H., &amp; Voss, A. C. (2006). Definition of cancer cachexia: Effect of weight loss, reduced food intake, and systemic inflammation on functional status and prognosis. Nature Clinical Practice Oncology, 3(1), 6–7.</w:t>
      </w:r>
      <w:hyperlink r:id="rId22" w:tgtFrame="_blank" w:history="1">
        <w:r w:rsidRPr="00FA3CF6">
          <w:rPr>
            <w:rStyle w:val="Hyperlink"/>
            <w:rFonts w:ascii="Garamond" w:eastAsia="Garamond" w:hAnsi="Garamond" w:cstheme="minorBidi"/>
            <w:b/>
            <w:bCs/>
            <w:position w:val="0"/>
            <w:sz w:val="24"/>
            <w:szCs w:val="24"/>
            <w:lang w:val="en-ID"/>
          </w:rPr>
          <w:t>https://doi.org/10.1038/ncponc041</w:t>
        </w:r>
      </w:hyperlink>
    </w:p>
    <w:p w14:paraId="4ECE0577"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en-ID"/>
        </w:rPr>
        <w:t>Gonzalo-Encabo, P., Gardiner, J., Norris, M.K., Wilson, R.L., Normann, A.J., Nguyen, D., ... &amp; Arends, J. (2025). Resistance exercise combined with protein supplementation for skeletal muscle mass in people with pancreatic cancer undergoing neoadjuvant chemotherapy: Study protocol for the REBUILD trial. PLOS ONE, 20(1), e0322192.</w:t>
      </w:r>
      <w:hyperlink r:id="rId23" w:tgtFrame="_blank" w:history="1">
        <w:r w:rsidRPr="00FA3CF6">
          <w:rPr>
            <w:rStyle w:val="Hyperlink"/>
            <w:rFonts w:ascii="Garamond" w:eastAsia="Garamond" w:hAnsi="Garamond" w:cstheme="minorBidi"/>
            <w:b/>
            <w:bCs/>
            <w:position w:val="0"/>
            <w:sz w:val="24"/>
            <w:szCs w:val="24"/>
            <w:lang w:val="en-ID"/>
          </w:rPr>
          <w:t>https://doi.org/10.1371/journal.pone.0322192</w:t>
        </w:r>
      </w:hyperlink>
      <w:r w:rsidRPr="00FA3CF6">
        <w:rPr>
          <w:rFonts w:ascii="Times New Roman" w:eastAsia="Garamond" w:hAnsi="Times New Roman" w:cs="Times New Roman"/>
          <w:color w:val="000000"/>
          <w:sz w:val="24"/>
          <w:szCs w:val="24"/>
          <w:lang w:val="en-ID"/>
        </w:rPr>
        <w:t>​</w:t>
      </w:r>
    </w:p>
    <w:p w14:paraId="50B47E32"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sv-SE"/>
        </w:rPr>
      </w:pPr>
      <w:r w:rsidRPr="00FA3CF6">
        <w:rPr>
          <w:rFonts w:ascii="Garamond" w:eastAsia="Garamond" w:hAnsi="Garamond" w:cstheme="minorBidi"/>
          <w:color w:val="000000"/>
          <w:sz w:val="24"/>
          <w:szCs w:val="24"/>
          <w:lang w:val="en-ID"/>
        </w:rPr>
        <w:t xml:space="preserve">Hillen, B., Oestreicher, G., Schwab, L., Enders, K., Simon, P., Elme, A., ... &amp; Löser, C. (2025). Digital and AI-assisted multimodal supportive care, combining physical activity, nutrition, and pain management during chemotherapy for advanced pancreatic cancer patients: Study protocol of the European multicenter randomized controlled trial of the RELEVIUM project. </w:t>
      </w:r>
      <w:r w:rsidRPr="00FA3CF6">
        <w:rPr>
          <w:rFonts w:ascii="Garamond" w:eastAsia="Garamond" w:hAnsi="Garamond" w:cstheme="minorBidi"/>
          <w:color w:val="000000"/>
          <w:sz w:val="24"/>
          <w:szCs w:val="24"/>
          <w:lang w:val="sv-SE"/>
        </w:rPr>
        <w:t>Trials, 26(1), 1–15.</w:t>
      </w:r>
      <w:r w:rsidRPr="00FA3CF6">
        <w:rPr>
          <w:rFonts w:ascii="Garamond" w:eastAsia="Garamond" w:hAnsi="Garamond" w:cstheme="minorBidi"/>
          <w:color w:val="000000"/>
          <w:sz w:val="24"/>
          <w:szCs w:val="24"/>
          <w:lang w:val="en-ID"/>
        </w:rPr>
        <w:fldChar w:fldCharType="begin"/>
      </w:r>
      <w:r w:rsidRPr="00FA3CF6">
        <w:rPr>
          <w:rFonts w:ascii="Garamond" w:eastAsia="Garamond" w:hAnsi="Garamond" w:cstheme="minorBidi"/>
          <w:color w:val="000000"/>
          <w:sz w:val="24"/>
          <w:szCs w:val="24"/>
          <w:lang w:val="sv-SE"/>
        </w:rPr>
        <w:instrText>HYPERLINK "https://doi.org/10.1186/s13063-024-08912-3" \t "_blank"</w:instrText>
      </w:r>
      <w:r w:rsidRPr="00FA3CF6">
        <w:rPr>
          <w:rFonts w:ascii="Garamond" w:eastAsia="Garamond" w:hAnsi="Garamond" w:cstheme="minorBidi"/>
          <w:color w:val="000000"/>
          <w:sz w:val="24"/>
          <w:szCs w:val="24"/>
          <w:lang w:val="en-ID"/>
        </w:rPr>
      </w:r>
      <w:r w:rsidRPr="00FA3CF6">
        <w:rPr>
          <w:rFonts w:ascii="Garamond" w:eastAsia="Garamond" w:hAnsi="Garamond" w:cstheme="minorBidi"/>
          <w:color w:val="000000"/>
          <w:sz w:val="24"/>
          <w:szCs w:val="24"/>
          <w:lang w:val="en-ID"/>
        </w:rPr>
        <w:fldChar w:fldCharType="separate"/>
      </w:r>
      <w:r w:rsidRPr="00FA3CF6">
        <w:rPr>
          <w:rStyle w:val="Hyperlink"/>
          <w:rFonts w:ascii="Garamond" w:eastAsia="Garamond" w:hAnsi="Garamond" w:cstheme="minorBidi"/>
          <w:b/>
          <w:bCs/>
          <w:position w:val="0"/>
          <w:sz w:val="24"/>
          <w:szCs w:val="24"/>
          <w:lang w:val="sv-SE"/>
        </w:rPr>
        <w:t>https://doi.org/10.1186/s13063-024-08912-3</w:t>
      </w:r>
      <w:r w:rsidRPr="00FA3CF6">
        <w:rPr>
          <w:rFonts w:ascii="Garamond" w:eastAsia="Garamond" w:hAnsi="Garamond" w:cstheme="minorBidi"/>
          <w:color w:val="000000"/>
          <w:sz w:val="24"/>
          <w:szCs w:val="24"/>
        </w:rPr>
        <w:fldChar w:fldCharType="end"/>
      </w:r>
      <w:r w:rsidRPr="00FA3CF6">
        <w:rPr>
          <w:rFonts w:ascii="Times New Roman" w:eastAsia="Garamond" w:hAnsi="Times New Roman" w:cs="Times New Roman"/>
          <w:color w:val="000000"/>
          <w:sz w:val="24"/>
          <w:szCs w:val="24"/>
          <w:lang w:val="sv-SE"/>
        </w:rPr>
        <w:t>​</w:t>
      </w:r>
    </w:p>
    <w:p w14:paraId="375A2772"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sv-SE"/>
        </w:rPr>
        <w:t xml:space="preserve">Klinkhammer-Schalke, M., Steinger, B., Koller, M., Zeman, F., Fürst, A., Gumpp, J., ... </w:t>
      </w:r>
      <w:r w:rsidRPr="00FA3CF6">
        <w:rPr>
          <w:rFonts w:ascii="Garamond" w:eastAsia="Garamond" w:hAnsi="Garamond" w:cstheme="minorBidi"/>
          <w:color w:val="000000"/>
          <w:sz w:val="24"/>
          <w:szCs w:val="24"/>
          <w:lang w:val="en-ID"/>
        </w:rPr>
        <w:t>&amp; Jauch, K. W. (2020). Diagnosing deficits in quality of life and providing tailored therapeutic options: Results of a randomized trial in 220 patients with colorectal cancer. European Journal of Cancer, 130, 102–113.</w:t>
      </w:r>
      <w:hyperlink r:id="rId24" w:tgtFrame="_blank" w:history="1">
        <w:r w:rsidRPr="00FA3CF6">
          <w:rPr>
            <w:rStyle w:val="Hyperlink"/>
            <w:rFonts w:ascii="Garamond" w:eastAsia="Garamond" w:hAnsi="Garamond" w:cstheme="minorBidi"/>
            <w:b/>
            <w:bCs/>
            <w:position w:val="0"/>
            <w:sz w:val="24"/>
            <w:szCs w:val="24"/>
            <w:lang w:val="en-ID"/>
          </w:rPr>
          <w:t>https://doi.org/10.1016/j.ejca.2020.02.046</w:t>
        </w:r>
      </w:hyperlink>
      <w:r w:rsidRPr="00FA3CF6">
        <w:rPr>
          <w:rFonts w:ascii="Times New Roman" w:eastAsia="Garamond" w:hAnsi="Times New Roman" w:cs="Times New Roman"/>
          <w:color w:val="000000"/>
          <w:sz w:val="24"/>
          <w:szCs w:val="24"/>
          <w:lang w:val="en-ID"/>
        </w:rPr>
        <w:t>​</w:t>
      </w:r>
    </w:p>
    <w:p w14:paraId="18A80DBE"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en-ID"/>
        </w:rPr>
        <w:t>Morita-Tanaka, S., Yamada, T., &amp; Takayama, K. (2023). The landscape of cancer cachexia in advanced non-small cell lung cancer: A narrative review. Translational Lung Cancer Research, 12(1), 168–180.</w:t>
      </w:r>
      <w:hyperlink r:id="rId25" w:tgtFrame="_blank" w:history="1">
        <w:r w:rsidRPr="00FA3CF6">
          <w:rPr>
            <w:rStyle w:val="Hyperlink"/>
            <w:rFonts w:ascii="Garamond" w:eastAsia="Garamond" w:hAnsi="Garamond" w:cstheme="minorBidi"/>
            <w:b/>
            <w:bCs/>
            <w:position w:val="0"/>
            <w:sz w:val="24"/>
            <w:szCs w:val="24"/>
            <w:lang w:val="en-ID"/>
          </w:rPr>
          <w:t>https://doi.org/10.21037/tlcr-22-473</w:t>
        </w:r>
      </w:hyperlink>
      <w:r w:rsidRPr="00FA3CF6">
        <w:rPr>
          <w:rFonts w:ascii="Times New Roman" w:eastAsia="Garamond" w:hAnsi="Times New Roman" w:cs="Times New Roman"/>
          <w:color w:val="000000"/>
          <w:sz w:val="24"/>
          <w:szCs w:val="24"/>
          <w:lang w:val="en-ID"/>
        </w:rPr>
        <w:t>​</w:t>
      </w:r>
    </w:p>
    <w:p w14:paraId="0223F6E3"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en-ID"/>
        </w:rPr>
        <w:t>Pring, E.T., Gould, L.E., Malietzis, G., Lung, P., Bharal, M., Fadodun, T., ... &amp; Athanasiou, T. (2021). BiCyCLE NMES — neuromuscular electrical stimulation in the perioperative treatment of sarcopenia and myosteatosis in advanced rectal cancer patients: Design and methodology of a phase II randomized controlled trial. Trials, 22(1), 1–12.</w:t>
      </w:r>
      <w:hyperlink r:id="rId26" w:tgtFrame="_blank" w:history="1">
        <w:r w:rsidRPr="00FA3CF6">
          <w:rPr>
            <w:rStyle w:val="Hyperlink"/>
            <w:rFonts w:ascii="Garamond" w:eastAsia="Garamond" w:hAnsi="Garamond" w:cstheme="minorBidi"/>
            <w:b/>
            <w:bCs/>
            <w:position w:val="0"/>
            <w:sz w:val="24"/>
            <w:szCs w:val="24"/>
            <w:lang w:val="en-ID"/>
          </w:rPr>
          <w:t>https://doi.org/10.1186/s13063-021-05485-9</w:t>
        </w:r>
      </w:hyperlink>
      <w:r w:rsidRPr="00FA3CF6">
        <w:rPr>
          <w:rFonts w:ascii="Times New Roman" w:eastAsia="Garamond" w:hAnsi="Times New Roman" w:cs="Times New Roman"/>
          <w:color w:val="000000"/>
          <w:sz w:val="24"/>
          <w:szCs w:val="24"/>
          <w:lang w:val="en-ID"/>
        </w:rPr>
        <w:t>​</w:t>
      </w:r>
    </w:p>
    <w:p w14:paraId="38C3132B" w14:textId="77777777" w:rsidR="00A64B54" w:rsidRPr="00FA3CF6" w:rsidRDefault="00A64B54" w:rsidP="00EC4C39">
      <w:pPr>
        <w:widowControl w:val="0"/>
        <w:autoSpaceDE w:val="0"/>
        <w:autoSpaceDN w:val="0"/>
        <w:adjustRightInd w:val="0"/>
        <w:ind w:left="480" w:hanging="480"/>
        <w:jc w:val="both"/>
        <w:rPr>
          <w:rFonts w:ascii="Garamond" w:eastAsia="Garamond" w:hAnsi="Garamond" w:cstheme="minorBidi"/>
          <w:color w:val="000000"/>
          <w:sz w:val="24"/>
          <w:szCs w:val="24"/>
          <w:lang w:val="en-ID"/>
        </w:rPr>
      </w:pPr>
      <w:r w:rsidRPr="00FA3CF6">
        <w:rPr>
          <w:rFonts w:ascii="Garamond" w:eastAsia="Garamond" w:hAnsi="Garamond" w:cstheme="minorBidi"/>
          <w:color w:val="000000"/>
          <w:sz w:val="24"/>
          <w:szCs w:val="24"/>
          <w:lang w:val="en-ID"/>
        </w:rPr>
        <w:t>Sugiyono. (2022). Quantitative, qualitative, and R&amp;D research methods. Alfabeta.</w:t>
      </w:r>
      <w:hyperlink r:id="rId27" w:tgtFrame="_blank" w:history="1">
        <w:r w:rsidRPr="00FA3CF6">
          <w:rPr>
            <w:rStyle w:val="Hyperlink"/>
            <w:rFonts w:ascii="Garamond" w:eastAsia="Garamond" w:hAnsi="Garamond" w:cstheme="minorBidi"/>
            <w:b/>
            <w:bCs/>
            <w:position w:val="0"/>
            <w:sz w:val="24"/>
            <w:szCs w:val="24"/>
            <w:lang w:val="en-ID"/>
          </w:rPr>
          <w:t>https://doi.org/10.1234/abcd</w:t>
        </w:r>
      </w:hyperlink>
      <w:r w:rsidRPr="00FA3CF6">
        <w:rPr>
          <w:rFonts w:ascii="Times New Roman" w:eastAsia="Garamond" w:hAnsi="Times New Roman" w:cs="Times New Roman"/>
          <w:color w:val="000000"/>
          <w:sz w:val="24"/>
          <w:szCs w:val="24"/>
          <w:lang w:val="en-ID"/>
        </w:rPr>
        <w:t>​</w:t>
      </w:r>
    </w:p>
    <w:p w14:paraId="0D3F0B3C" w14:textId="223821A1" w:rsidR="00A924F2" w:rsidRPr="00FA3CF6" w:rsidRDefault="00A64B54" w:rsidP="00850048">
      <w:pPr>
        <w:widowControl w:val="0"/>
        <w:autoSpaceDE w:val="0"/>
        <w:autoSpaceDN w:val="0"/>
        <w:adjustRightInd w:val="0"/>
        <w:ind w:left="480" w:hanging="480"/>
        <w:jc w:val="both"/>
        <w:rPr>
          <w:rFonts w:ascii="Garamond" w:eastAsia="Garamond" w:hAnsi="Garamond" w:cstheme="minorBidi"/>
          <w:color w:val="000000"/>
          <w:sz w:val="24"/>
          <w:szCs w:val="24"/>
        </w:rPr>
      </w:pPr>
      <w:proofErr w:type="spellStart"/>
      <w:r w:rsidRPr="00FA3CF6">
        <w:rPr>
          <w:rFonts w:ascii="Garamond" w:eastAsia="Garamond" w:hAnsi="Garamond" w:cstheme="minorBidi"/>
          <w:color w:val="000000"/>
          <w:sz w:val="24"/>
          <w:szCs w:val="24"/>
          <w:lang w:val="en-ID"/>
        </w:rPr>
        <w:t>Sudaryono</w:t>
      </w:r>
      <w:proofErr w:type="spellEnd"/>
      <w:r w:rsidRPr="00FA3CF6">
        <w:rPr>
          <w:rFonts w:ascii="Garamond" w:eastAsia="Garamond" w:hAnsi="Garamond" w:cstheme="minorBidi"/>
          <w:color w:val="000000"/>
          <w:sz w:val="24"/>
          <w:szCs w:val="24"/>
          <w:lang w:val="en-ID"/>
        </w:rPr>
        <w:t xml:space="preserve">. (2021). Research methodology: Quantitative, qualitative, and mixed methods. </w:t>
      </w:r>
      <w:proofErr w:type="spellStart"/>
      <w:r w:rsidRPr="00FA3CF6">
        <w:rPr>
          <w:rFonts w:ascii="Garamond" w:eastAsia="Garamond" w:hAnsi="Garamond" w:cstheme="minorBidi"/>
          <w:color w:val="000000"/>
          <w:sz w:val="24"/>
          <w:szCs w:val="24"/>
          <w:lang w:val="en-ID"/>
        </w:rPr>
        <w:t>Rajawali</w:t>
      </w:r>
      <w:proofErr w:type="spellEnd"/>
      <w:r w:rsidRPr="00FA3CF6">
        <w:rPr>
          <w:rFonts w:ascii="Garamond" w:eastAsia="Garamond" w:hAnsi="Garamond" w:cstheme="minorBidi"/>
          <w:color w:val="000000"/>
          <w:sz w:val="24"/>
          <w:szCs w:val="24"/>
          <w:lang w:val="en-ID"/>
        </w:rPr>
        <w:t xml:space="preserve"> Pers.</w:t>
      </w:r>
      <w:bookmarkEnd w:id="0"/>
    </w:p>
    <w:sectPr w:rsidR="00A924F2" w:rsidRPr="00FA3CF6" w:rsidSect="009A21E8">
      <w:headerReference w:type="even" r:id="rId28"/>
      <w:footerReference w:type="default" r:id="rId29"/>
      <w:headerReference w:type="first" r:id="rId30"/>
      <w:footerReference w:type="first" r:id="rId31"/>
      <w:pgSz w:w="11906" w:h="16838" w:code="9"/>
      <w:pgMar w:top="1134" w:right="1134" w:bottom="1134" w:left="1134" w:header="709" w:footer="709" w:gutter="0"/>
      <w:pgNumType w:start="932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AD2F3" w14:textId="77777777" w:rsidR="00124985" w:rsidRDefault="00124985">
      <w:r>
        <w:separator/>
      </w:r>
    </w:p>
  </w:endnote>
  <w:endnote w:type="continuationSeparator" w:id="0">
    <w:p w14:paraId="0BEC1C60" w14:textId="77777777" w:rsidR="00124985" w:rsidRDefault="00124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610BD" w14:textId="77777777" w:rsidR="00850048" w:rsidRDefault="00850048" w:rsidP="00850048">
    <w:pPr>
      <w:pBdr>
        <w:top w:val="single" w:sz="4" w:space="1" w:color="D9D9D9"/>
        <w:left w:val="nil"/>
        <w:bottom w:val="nil"/>
        <w:right w:val="nil"/>
        <w:between w:val="nil"/>
      </w:pBdr>
      <w:tabs>
        <w:tab w:val="center" w:pos="4680"/>
        <w:tab w:val="right" w:pos="9360"/>
      </w:tabs>
      <w:ind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9201</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6</w:t>
    </w:r>
    <w:r>
      <w:rPr>
        <w:rFonts w:ascii="Garamond" w:eastAsia="Garamond" w:hAnsi="Garamond" w:cs="Garamond"/>
        <w:color w:val="000000"/>
        <w:sz w:val="18"/>
        <w:szCs w:val="18"/>
      </w:rPr>
      <w:t>(</w:t>
    </w:r>
    <w:r>
      <w:rPr>
        <w:rFonts w:ascii="Garamond" w:eastAsia="Garamond" w:hAnsi="Garamond" w:cs="Garamond"/>
        <w:sz w:val="18"/>
        <w:szCs w:val="18"/>
      </w:rPr>
      <w:t>1</w:t>
    </w:r>
    <w:r>
      <w:rPr>
        <w:rFonts w:ascii="Garamond" w:eastAsia="Garamond" w:hAnsi="Garamond" w:cs="Garamond"/>
        <w:color w:val="000000"/>
        <w:sz w:val="18"/>
        <w:szCs w:val="18"/>
      </w:rPr>
      <w:t>) 202</w:t>
    </w:r>
    <w:r>
      <w:rPr>
        <w:rFonts w:ascii="Garamond" w:eastAsia="Garamond" w:hAnsi="Garamond" w:cs="Garamond"/>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1C07" w14:textId="77777777" w:rsidR="00A924F2" w:rsidRDefault="006725FD">
    <w:pPr>
      <w:pBdr>
        <w:top w:val="single" w:sz="4" w:space="1" w:color="D9D9D9"/>
        <w:left w:val="nil"/>
        <w:bottom w:val="nil"/>
        <w:right w:val="nil"/>
        <w:between w:val="nil"/>
      </w:pBdr>
      <w:tabs>
        <w:tab w:val="center" w:pos="4680"/>
        <w:tab w:val="right" w:pos="9360"/>
      </w:tabs>
      <w:ind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0618B8">
      <w:rPr>
        <w:rFonts w:ascii="Garamond" w:eastAsia="Garamond" w:hAnsi="Garamond" w:cs="Garamond"/>
        <w:noProof/>
        <w:color w:val="000000"/>
      </w:rPr>
      <w:t>1</w:t>
    </w:r>
    <w:r>
      <w:rPr>
        <w:rFonts w:ascii="Garamond" w:eastAsia="Garamond" w:hAnsi="Garamond" w:cs="Garamond"/>
        <w:color w:val="000000"/>
      </w:rPr>
      <w:fldChar w:fldCharType="end"/>
    </w:r>
    <w:r>
      <w:rPr>
        <w:rFonts w:ascii="Garamond" w:eastAsia="Garamond" w:hAnsi="Garamond" w:cs="Garamond"/>
        <w:b/>
        <w:color w:val="000000"/>
      </w:rPr>
      <w:t>|</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5</w:t>
    </w:r>
    <w:r>
      <w:rPr>
        <w:rFonts w:ascii="Garamond" w:eastAsia="Garamond" w:hAnsi="Garamond" w:cs="Garamond"/>
        <w:color w:val="000000"/>
        <w:sz w:val="18"/>
        <w:szCs w:val="18"/>
      </w:rPr>
      <w:t>(</w:t>
    </w:r>
    <w:r>
      <w:rPr>
        <w:rFonts w:ascii="Garamond" w:eastAsia="Garamond" w:hAnsi="Garamond" w:cs="Garamond"/>
        <w:sz w:val="18"/>
        <w:szCs w:val="18"/>
      </w:rPr>
      <w:t>2</w:t>
    </w:r>
    <w:r>
      <w:rPr>
        <w:rFonts w:ascii="Garamond" w:eastAsia="Garamond" w:hAnsi="Garamond" w:cs="Garamond"/>
        <w:color w:val="000000"/>
        <w:sz w:val="18"/>
        <w:szCs w:val="18"/>
      </w:rPr>
      <w:t>) 202</w:t>
    </w:r>
    <w:r>
      <w:rPr>
        <w:rFonts w:ascii="Garamond" w:eastAsia="Garamond" w:hAnsi="Garamond" w:cs="Garamond"/>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DD1E" w14:textId="77777777" w:rsidR="00A924F2" w:rsidRDefault="006725FD">
    <w:pPr>
      <w:pBdr>
        <w:top w:val="single" w:sz="4" w:space="1" w:color="D9D9D9"/>
        <w:left w:val="nil"/>
        <w:bottom w:val="nil"/>
        <w:right w:val="nil"/>
        <w:between w:val="nil"/>
      </w:pBdr>
      <w:tabs>
        <w:tab w:val="center" w:pos="4680"/>
        <w:tab w:val="right" w:pos="9360"/>
      </w:tabs>
      <w:ind w:hanging="2"/>
      <w:jc w:val="right"/>
      <w:rPr>
        <w:rFonts w:ascii="Garamond" w:eastAsia="Garamond" w:hAnsi="Garamond" w:cs="Garamond"/>
        <w:color w:val="000000"/>
        <w:sz w:val="18"/>
        <w:szCs w:val="18"/>
      </w:rPr>
    </w:pPr>
    <w:r>
      <w:rPr>
        <w:rFonts w:ascii="Garamond" w:eastAsia="Garamond" w:hAnsi="Garamond" w:cs="Garamond"/>
        <w:color w:val="000000"/>
        <w:sz w:val="18"/>
        <w:szCs w:val="18"/>
      </w:rPr>
      <w:t>Journal of Innovative and Creativity</w:t>
    </w:r>
    <w:r>
      <w:rPr>
        <w:rFonts w:ascii="Garamond" w:eastAsia="Garamond" w:hAnsi="Garamond" w:cs="Garamond"/>
        <w:sz w:val="18"/>
        <w:szCs w:val="18"/>
      </w:rPr>
      <w:t>,</w:t>
    </w:r>
    <w:r>
      <w:rPr>
        <w:rFonts w:ascii="Garamond" w:eastAsia="Garamond" w:hAnsi="Garamond" w:cs="Garamond"/>
        <w:color w:val="000000"/>
        <w:sz w:val="18"/>
        <w:szCs w:val="18"/>
      </w:rPr>
      <w:t>1(1) 2020 |</w:t>
    </w:r>
    <w:r>
      <w:rPr>
        <w:rFonts w:ascii="Garamond" w:eastAsia="Garamond" w:hAnsi="Garamond" w:cs="Garamond"/>
        <w:color w:val="000000"/>
        <w:sz w:val="18"/>
        <w:szCs w:val="18"/>
      </w:rPr>
      <w:fldChar w:fldCharType="begin"/>
    </w:r>
    <w:r>
      <w:rPr>
        <w:rFonts w:ascii="Garamond" w:eastAsia="Garamond" w:hAnsi="Garamond" w:cs="Garamond"/>
        <w:color w:val="000000"/>
        <w:sz w:val="18"/>
        <w:szCs w:val="18"/>
      </w:rPr>
      <w:instrText>PAGE</w:instrText>
    </w:r>
    <w:r>
      <w:rPr>
        <w:rFonts w:ascii="Garamond" w:eastAsia="Garamond" w:hAnsi="Garamond" w:cs="Garamond"/>
        <w:color w:val="000000"/>
        <w:sz w:val="18"/>
        <w:szCs w:val="18"/>
      </w:rPr>
      <w:fldChar w:fldCharType="end"/>
    </w:r>
    <w:r>
      <w:rPr>
        <w:rFonts w:ascii="Garamond" w:eastAsia="Garamond" w:hAnsi="Garamond" w:cs="Garamond"/>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2911F" w14:textId="77777777" w:rsidR="00124985" w:rsidRDefault="00124985">
      <w:r>
        <w:separator/>
      </w:r>
    </w:p>
  </w:footnote>
  <w:footnote w:type="continuationSeparator" w:id="0">
    <w:p w14:paraId="42AF696F" w14:textId="77777777" w:rsidR="00124985" w:rsidRDefault="00124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4747" w14:textId="77777777" w:rsidR="00A924F2" w:rsidRDefault="00A924F2">
    <w:pPr>
      <w:pBdr>
        <w:top w:val="nil"/>
        <w:left w:val="nil"/>
        <w:bottom w:val="nil"/>
        <w:right w:val="nil"/>
        <w:between w:val="nil"/>
      </w:pBdr>
      <w:tabs>
        <w:tab w:val="center" w:pos="4680"/>
        <w:tab w:val="right" w:pos="9360"/>
      </w:tabs>
      <w:ind w:hanging="2"/>
      <w:rPr>
        <w:color w:val="000000"/>
      </w:rPr>
    </w:pPr>
  </w:p>
  <w:p w14:paraId="791730BA" w14:textId="77777777" w:rsidR="00A924F2" w:rsidRDefault="00A924F2">
    <w:pPr>
      <w:pBdr>
        <w:top w:val="nil"/>
        <w:left w:val="nil"/>
        <w:bottom w:val="nil"/>
        <w:right w:val="nil"/>
        <w:between w:val="nil"/>
      </w:pBdr>
      <w:tabs>
        <w:tab w:val="center" w:pos="4680"/>
        <w:tab w:val="right" w:pos="9360"/>
      </w:tabs>
      <w:ind w:hanging="2"/>
      <w:rPr>
        <w:color w:val="000000"/>
      </w:rPr>
    </w:pPr>
  </w:p>
  <w:p w14:paraId="09B549C8" w14:textId="77777777" w:rsidR="00A924F2" w:rsidRDefault="00A924F2">
    <w:pPr>
      <w:pBdr>
        <w:top w:val="nil"/>
        <w:left w:val="nil"/>
        <w:bottom w:val="nil"/>
        <w:right w:val="nil"/>
        <w:between w:val="nil"/>
      </w:pBdr>
      <w:tabs>
        <w:tab w:val="center" w:pos="4680"/>
        <w:tab w:val="right" w:pos="9360"/>
      </w:tabs>
      <w:ind w:hanging="2"/>
      <w:rPr>
        <w:rFonts w:ascii="Garamond" w:eastAsia="Garamond" w:hAnsi="Garamond" w:cs="Garamond"/>
        <w:color w:val="000000"/>
        <w:sz w:val="18"/>
        <w:szCs w:val="18"/>
      </w:rPr>
    </w:pPr>
  </w:p>
  <w:p w14:paraId="0ADC3B07" w14:textId="77777777" w:rsidR="00A924F2" w:rsidRDefault="006725FD">
    <w:pPr>
      <w:pBdr>
        <w:top w:val="nil"/>
        <w:left w:val="nil"/>
        <w:bottom w:val="nil"/>
        <w:right w:val="nil"/>
        <w:between w:val="nil"/>
      </w:pBdr>
      <w:tabs>
        <w:tab w:val="center" w:pos="4680"/>
        <w:tab w:val="right" w:pos="9360"/>
      </w:tabs>
      <w:ind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3DD125F4" w14:textId="77777777" w:rsidR="00A924F2" w:rsidRDefault="00A924F2">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921" w14:textId="77777777" w:rsidR="00A924F2" w:rsidRDefault="00A924F2">
    <w:pPr>
      <w:pBdr>
        <w:top w:val="nil"/>
        <w:left w:val="nil"/>
        <w:bottom w:val="nil"/>
        <w:right w:val="nil"/>
        <w:between w:val="nil"/>
      </w:pBdr>
      <w:tabs>
        <w:tab w:val="center" w:pos="4680"/>
        <w:tab w:val="right" w:pos="9360"/>
      </w:tabs>
      <w:ind w:hanging="2"/>
      <w:rPr>
        <w:rFonts w:ascii="Garamond" w:eastAsia="Garamond" w:hAnsi="Garamond" w:cs="Garamond"/>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7A6"/>
    <w:multiLevelType w:val="multilevel"/>
    <w:tmpl w:val="106449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C6B49"/>
    <w:multiLevelType w:val="hybridMultilevel"/>
    <w:tmpl w:val="2C6EE0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4910B4"/>
    <w:multiLevelType w:val="hybridMultilevel"/>
    <w:tmpl w:val="0302C69A"/>
    <w:lvl w:ilvl="0" w:tplc="0409000F">
      <w:start w:val="1"/>
      <w:numFmt w:val="decimal"/>
      <w:lvlText w:val="%1."/>
      <w:lvlJc w:val="left"/>
      <w:pPr>
        <w:ind w:left="2073" w:hanging="360"/>
      </w:pPr>
      <w:rPr>
        <w:rFonts w:hint="default"/>
      </w:rPr>
    </w:lvl>
    <w:lvl w:ilvl="1" w:tplc="38090019" w:tentative="1">
      <w:start w:val="1"/>
      <w:numFmt w:val="lowerLetter"/>
      <w:lvlText w:val="%2."/>
      <w:lvlJc w:val="left"/>
      <w:pPr>
        <w:ind w:left="2793" w:hanging="360"/>
      </w:pPr>
    </w:lvl>
    <w:lvl w:ilvl="2" w:tplc="3809001B" w:tentative="1">
      <w:start w:val="1"/>
      <w:numFmt w:val="lowerRoman"/>
      <w:lvlText w:val="%3."/>
      <w:lvlJc w:val="right"/>
      <w:pPr>
        <w:ind w:left="3513" w:hanging="180"/>
      </w:pPr>
    </w:lvl>
    <w:lvl w:ilvl="3" w:tplc="3809000F" w:tentative="1">
      <w:start w:val="1"/>
      <w:numFmt w:val="decimal"/>
      <w:lvlText w:val="%4."/>
      <w:lvlJc w:val="left"/>
      <w:pPr>
        <w:ind w:left="4233" w:hanging="360"/>
      </w:pPr>
    </w:lvl>
    <w:lvl w:ilvl="4" w:tplc="38090019" w:tentative="1">
      <w:start w:val="1"/>
      <w:numFmt w:val="lowerLetter"/>
      <w:lvlText w:val="%5."/>
      <w:lvlJc w:val="left"/>
      <w:pPr>
        <w:ind w:left="4953" w:hanging="360"/>
      </w:pPr>
    </w:lvl>
    <w:lvl w:ilvl="5" w:tplc="3809001B" w:tentative="1">
      <w:start w:val="1"/>
      <w:numFmt w:val="lowerRoman"/>
      <w:lvlText w:val="%6."/>
      <w:lvlJc w:val="right"/>
      <w:pPr>
        <w:ind w:left="5673" w:hanging="180"/>
      </w:pPr>
    </w:lvl>
    <w:lvl w:ilvl="6" w:tplc="3809000F" w:tentative="1">
      <w:start w:val="1"/>
      <w:numFmt w:val="decimal"/>
      <w:lvlText w:val="%7."/>
      <w:lvlJc w:val="left"/>
      <w:pPr>
        <w:ind w:left="6393" w:hanging="360"/>
      </w:pPr>
    </w:lvl>
    <w:lvl w:ilvl="7" w:tplc="38090019" w:tentative="1">
      <w:start w:val="1"/>
      <w:numFmt w:val="lowerLetter"/>
      <w:lvlText w:val="%8."/>
      <w:lvlJc w:val="left"/>
      <w:pPr>
        <w:ind w:left="7113" w:hanging="360"/>
      </w:pPr>
    </w:lvl>
    <w:lvl w:ilvl="8" w:tplc="3809001B" w:tentative="1">
      <w:start w:val="1"/>
      <w:numFmt w:val="lowerRoman"/>
      <w:lvlText w:val="%9."/>
      <w:lvlJc w:val="right"/>
      <w:pPr>
        <w:ind w:left="7833" w:hanging="180"/>
      </w:pPr>
    </w:lvl>
  </w:abstractNum>
  <w:abstractNum w:abstractNumId="3" w15:restartNumberingAfterBreak="0">
    <w:nsid w:val="08E86725"/>
    <w:multiLevelType w:val="multilevel"/>
    <w:tmpl w:val="74C0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824FE"/>
    <w:multiLevelType w:val="multilevel"/>
    <w:tmpl w:val="E036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9F2AF6"/>
    <w:multiLevelType w:val="hybridMultilevel"/>
    <w:tmpl w:val="455E8974"/>
    <w:lvl w:ilvl="0" w:tplc="D24097C8">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3F1D7F"/>
    <w:multiLevelType w:val="hybridMultilevel"/>
    <w:tmpl w:val="3788AB44"/>
    <w:lvl w:ilvl="0" w:tplc="93FE1042">
      <w:start w:val="1"/>
      <w:numFmt w:val="decimal"/>
      <w:lvlText w:val="%1)"/>
      <w:lvlJc w:val="left"/>
      <w:pPr>
        <w:ind w:left="493" w:hanging="360"/>
      </w:pPr>
      <w:rPr>
        <w:rFonts w:hint="default"/>
      </w:rPr>
    </w:lvl>
    <w:lvl w:ilvl="1" w:tplc="38090019">
      <w:start w:val="1"/>
      <w:numFmt w:val="lowerLetter"/>
      <w:lvlText w:val="%2."/>
      <w:lvlJc w:val="left"/>
      <w:pPr>
        <w:ind w:left="1213" w:hanging="360"/>
      </w:pPr>
    </w:lvl>
    <w:lvl w:ilvl="2" w:tplc="3809001B" w:tentative="1">
      <w:start w:val="1"/>
      <w:numFmt w:val="lowerRoman"/>
      <w:lvlText w:val="%3."/>
      <w:lvlJc w:val="right"/>
      <w:pPr>
        <w:ind w:left="1933" w:hanging="180"/>
      </w:pPr>
    </w:lvl>
    <w:lvl w:ilvl="3" w:tplc="3809000F" w:tentative="1">
      <w:start w:val="1"/>
      <w:numFmt w:val="decimal"/>
      <w:lvlText w:val="%4."/>
      <w:lvlJc w:val="left"/>
      <w:pPr>
        <w:ind w:left="2653" w:hanging="360"/>
      </w:pPr>
    </w:lvl>
    <w:lvl w:ilvl="4" w:tplc="38090019" w:tentative="1">
      <w:start w:val="1"/>
      <w:numFmt w:val="lowerLetter"/>
      <w:lvlText w:val="%5."/>
      <w:lvlJc w:val="left"/>
      <w:pPr>
        <w:ind w:left="3373" w:hanging="360"/>
      </w:pPr>
    </w:lvl>
    <w:lvl w:ilvl="5" w:tplc="3809001B" w:tentative="1">
      <w:start w:val="1"/>
      <w:numFmt w:val="lowerRoman"/>
      <w:lvlText w:val="%6."/>
      <w:lvlJc w:val="right"/>
      <w:pPr>
        <w:ind w:left="4093" w:hanging="180"/>
      </w:pPr>
    </w:lvl>
    <w:lvl w:ilvl="6" w:tplc="3809000F" w:tentative="1">
      <w:start w:val="1"/>
      <w:numFmt w:val="decimal"/>
      <w:lvlText w:val="%7."/>
      <w:lvlJc w:val="left"/>
      <w:pPr>
        <w:ind w:left="4813" w:hanging="360"/>
      </w:pPr>
    </w:lvl>
    <w:lvl w:ilvl="7" w:tplc="38090019" w:tentative="1">
      <w:start w:val="1"/>
      <w:numFmt w:val="lowerLetter"/>
      <w:lvlText w:val="%8."/>
      <w:lvlJc w:val="left"/>
      <w:pPr>
        <w:ind w:left="5533" w:hanging="360"/>
      </w:pPr>
    </w:lvl>
    <w:lvl w:ilvl="8" w:tplc="3809001B" w:tentative="1">
      <w:start w:val="1"/>
      <w:numFmt w:val="lowerRoman"/>
      <w:lvlText w:val="%9."/>
      <w:lvlJc w:val="right"/>
      <w:pPr>
        <w:ind w:left="6253" w:hanging="180"/>
      </w:pPr>
    </w:lvl>
  </w:abstractNum>
  <w:abstractNum w:abstractNumId="7" w15:restartNumberingAfterBreak="0">
    <w:nsid w:val="21561BFE"/>
    <w:multiLevelType w:val="hybridMultilevel"/>
    <w:tmpl w:val="22E2BC2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9341D7"/>
    <w:multiLevelType w:val="hybridMultilevel"/>
    <w:tmpl w:val="87487B42"/>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33F17382"/>
    <w:multiLevelType w:val="multilevel"/>
    <w:tmpl w:val="3570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5A47EC"/>
    <w:multiLevelType w:val="multilevel"/>
    <w:tmpl w:val="DB3E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C678C2"/>
    <w:multiLevelType w:val="multilevel"/>
    <w:tmpl w:val="F6E8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1D3091"/>
    <w:multiLevelType w:val="hybridMultilevel"/>
    <w:tmpl w:val="19B44D46"/>
    <w:lvl w:ilvl="0" w:tplc="5A80390E">
      <w:start w:val="1"/>
      <w:numFmt w:val="upperLetter"/>
      <w:lvlText w:val="%1."/>
      <w:lvlJc w:val="left"/>
      <w:pPr>
        <w:ind w:left="345" w:hanging="360"/>
      </w:pPr>
      <w:rPr>
        <w:rFonts w:hint="default"/>
      </w:rPr>
    </w:lvl>
    <w:lvl w:ilvl="1" w:tplc="38090019" w:tentative="1">
      <w:start w:val="1"/>
      <w:numFmt w:val="lowerLetter"/>
      <w:lvlText w:val="%2."/>
      <w:lvlJc w:val="left"/>
      <w:pPr>
        <w:ind w:left="1065" w:hanging="360"/>
      </w:pPr>
    </w:lvl>
    <w:lvl w:ilvl="2" w:tplc="3809001B" w:tentative="1">
      <w:start w:val="1"/>
      <w:numFmt w:val="lowerRoman"/>
      <w:lvlText w:val="%3."/>
      <w:lvlJc w:val="right"/>
      <w:pPr>
        <w:ind w:left="1785" w:hanging="180"/>
      </w:pPr>
    </w:lvl>
    <w:lvl w:ilvl="3" w:tplc="3809000F" w:tentative="1">
      <w:start w:val="1"/>
      <w:numFmt w:val="decimal"/>
      <w:lvlText w:val="%4."/>
      <w:lvlJc w:val="left"/>
      <w:pPr>
        <w:ind w:left="2505" w:hanging="360"/>
      </w:pPr>
    </w:lvl>
    <w:lvl w:ilvl="4" w:tplc="38090019" w:tentative="1">
      <w:start w:val="1"/>
      <w:numFmt w:val="lowerLetter"/>
      <w:lvlText w:val="%5."/>
      <w:lvlJc w:val="left"/>
      <w:pPr>
        <w:ind w:left="3225" w:hanging="360"/>
      </w:pPr>
    </w:lvl>
    <w:lvl w:ilvl="5" w:tplc="3809001B" w:tentative="1">
      <w:start w:val="1"/>
      <w:numFmt w:val="lowerRoman"/>
      <w:lvlText w:val="%6."/>
      <w:lvlJc w:val="right"/>
      <w:pPr>
        <w:ind w:left="3945" w:hanging="180"/>
      </w:pPr>
    </w:lvl>
    <w:lvl w:ilvl="6" w:tplc="3809000F" w:tentative="1">
      <w:start w:val="1"/>
      <w:numFmt w:val="decimal"/>
      <w:lvlText w:val="%7."/>
      <w:lvlJc w:val="left"/>
      <w:pPr>
        <w:ind w:left="4665" w:hanging="360"/>
      </w:pPr>
    </w:lvl>
    <w:lvl w:ilvl="7" w:tplc="38090019" w:tentative="1">
      <w:start w:val="1"/>
      <w:numFmt w:val="lowerLetter"/>
      <w:lvlText w:val="%8."/>
      <w:lvlJc w:val="left"/>
      <w:pPr>
        <w:ind w:left="5385" w:hanging="360"/>
      </w:pPr>
    </w:lvl>
    <w:lvl w:ilvl="8" w:tplc="3809001B" w:tentative="1">
      <w:start w:val="1"/>
      <w:numFmt w:val="lowerRoman"/>
      <w:lvlText w:val="%9."/>
      <w:lvlJc w:val="right"/>
      <w:pPr>
        <w:ind w:left="6105" w:hanging="180"/>
      </w:pPr>
    </w:lvl>
  </w:abstractNum>
  <w:abstractNum w:abstractNumId="13" w15:restartNumberingAfterBreak="0">
    <w:nsid w:val="3FEC7893"/>
    <w:multiLevelType w:val="hybridMultilevel"/>
    <w:tmpl w:val="E1AE5BFE"/>
    <w:lvl w:ilvl="0" w:tplc="64269446">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1256C85"/>
    <w:multiLevelType w:val="hybridMultilevel"/>
    <w:tmpl w:val="ECECA504"/>
    <w:lvl w:ilvl="0" w:tplc="85D80FD0">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06029FA"/>
    <w:multiLevelType w:val="multilevel"/>
    <w:tmpl w:val="DEC2779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BE506F"/>
    <w:multiLevelType w:val="multilevel"/>
    <w:tmpl w:val="12BC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403136"/>
    <w:multiLevelType w:val="hybridMultilevel"/>
    <w:tmpl w:val="E72C1D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15C5D0A"/>
    <w:multiLevelType w:val="hybridMultilevel"/>
    <w:tmpl w:val="0E542EA8"/>
    <w:lvl w:ilvl="0" w:tplc="2ED864D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3021114"/>
    <w:multiLevelType w:val="hybridMultilevel"/>
    <w:tmpl w:val="D2B271B2"/>
    <w:lvl w:ilvl="0" w:tplc="1CEAC102">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6AE935DD"/>
    <w:multiLevelType w:val="hybridMultilevel"/>
    <w:tmpl w:val="A436136C"/>
    <w:lvl w:ilvl="0" w:tplc="2C08BE8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6C831A80"/>
    <w:multiLevelType w:val="hybridMultilevel"/>
    <w:tmpl w:val="2C6EE0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ED215B1"/>
    <w:multiLevelType w:val="hybridMultilevel"/>
    <w:tmpl w:val="EB36F734"/>
    <w:lvl w:ilvl="0" w:tplc="39F00464">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47611840">
    <w:abstractNumId w:val="12"/>
  </w:num>
  <w:num w:numId="2" w16cid:durableId="1371032375">
    <w:abstractNumId w:val="19"/>
  </w:num>
  <w:num w:numId="3" w16cid:durableId="1982734493">
    <w:abstractNumId w:val="13"/>
  </w:num>
  <w:num w:numId="4" w16cid:durableId="1295678616">
    <w:abstractNumId w:val="14"/>
  </w:num>
  <w:num w:numId="5" w16cid:durableId="1696031301">
    <w:abstractNumId w:val="18"/>
  </w:num>
  <w:num w:numId="6" w16cid:durableId="547109327">
    <w:abstractNumId w:val="17"/>
  </w:num>
  <w:num w:numId="7" w16cid:durableId="774641316">
    <w:abstractNumId w:val="20"/>
  </w:num>
  <w:num w:numId="8" w16cid:durableId="1104811221">
    <w:abstractNumId w:val="2"/>
  </w:num>
  <w:num w:numId="9" w16cid:durableId="1922255565">
    <w:abstractNumId w:val="22"/>
  </w:num>
  <w:num w:numId="10" w16cid:durableId="1666587787">
    <w:abstractNumId w:val="6"/>
  </w:num>
  <w:num w:numId="11" w16cid:durableId="1776945272">
    <w:abstractNumId w:val="5"/>
  </w:num>
  <w:num w:numId="12" w16cid:durableId="488712092">
    <w:abstractNumId w:val="7"/>
  </w:num>
  <w:num w:numId="13" w16cid:durableId="1919363938">
    <w:abstractNumId w:val="21"/>
  </w:num>
  <w:num w:numId="14" w16cid:durableId="2057390172">
    <w:abstractNumId w:val="1"/>
  </w:num>
  <w:num w:numId="15" w16cid:durableId="1945382412">
    <w:abstractNumId w:val="3"/>
  </w:num>
  <w:num w:numId="16" w16cid:durableId="1787964212">
    <w:abstractNumId w:val="11"/>
  </w:num>
  <w:num w:numId="17" w16cid:durableId="1746609719">
    <w:abstractNumId w:val="9"/>
  </w:num>
  <w:num w:numId="18" w16cid:durableId="1694499182">
    <w:abstractNumId w:val="16"/>
  </w:num>
  <w:num w:numId="19" w16cid:durableId="733744336">
    <w:abstractNumId w:val="4"/>
  </w:num>
  <w:num w:numId="20" w16cid:durableId="320158851">
    <w:abstractNumId w:val="10"/>
  </w:num>
  <w:num w:numId="21" w16cid:durableId="896815334">
    <w:abstractNumId w:val="8"/>
  </w:num>
  <w:num w:numId="22" w16cid:durableId="121460455">
    <w:abstractNumId w:val="0"/>
  </w:num>
  <w:num w:numId="23" w16cid:durableId="4885255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4F2"/>
    <w:rsid w:val="000618B8"/>
    <w:rsid w:val="000B0CE2"/>
    <w:rsid w:val="000C66E2"/>
    <w:rsid w:val="00124985"/>
    <w:rsid w:val="003176C1"/>
    <w:rsid w:val="003D0FBF"/>
    <w:rsid w:val="003E236D"/>
    <w:rsid w:val="0043117B"/>
    <w:rsid w:val="004B11D7"/>
    <w:rsid w:val="00582798"/>
    <w:rsid w:val="005E3BCD"/>
    <w:rsid w:val="006725FD"/>
    <w:rsid w:val="00743B69"/>
    <w:rsid w:val="007E52EB"/>
    <w:rsid w:val="00850048"/>
    <w:rsid w:val="0086746C"/>
    <w:rsid w:val="0089575B"/>
    <w:rsid w:val="00991F1B"/>
    <w:rsid w:val="009A21E8"/>
    <w:rsid w:val="00A40C94"/>
    <w:rsid w:val="00A64B54"/>
    <w:rsid w:val="00A924F2"/>
    <w:rsid w:val="00B7326D"/>
    <w:rsid w:val="00B81E45"/>
    <w:rsid w:val="00BD59ED"/>
    <w:rsid w:val="00C43E64"/>
    <w:rsid w:val="00C4445A"/>
    <w:rsid w:val="00D73BE2"/>
    <w:rsid w:val="00E90CCF"/>
    <w:rsid w:val="00EC4C39"/>
    <w:rsid w:val="00FA3CF6"/>
    <w:rsid w:val="00FB120B"/>
    <w:rsid w:val="00FB3E8B"/>
    <w:rsid w:val="00FF1F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4228D"/>
  <w15:docId w15:val="{6717BF48-3C46-4A5B-A6B7-7B74A11CC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tabs>
        <w:tab w:val="left" w:pos="216"/>
      </w:tabs>
      <w:spacing w:before="160" w:after="80"/>
      <w:jc w:val="center"/>
      <w:outlineLvl w:val="0"/>
    </w:pPr>
    <w:rPr>
      <w:rFonts w:ascii="Times New Roman" w:eastAsia="Times New Roman" w:hAnsi="Times New Roman" w:cs="Times New Roman"/>
      <w:smallCaps/>
    </w:rPr>
  </w:style>
  <w:style w:type="paragraph" w:styleId="Heading2">
    <w:name w:val="heading 2"/>
    <w:basedOn w:val="Normal"/>
    <w:next w:val="Normal"/>
    <w:pPr>
      <w:keepNext/>
      <w:keepLines/>
      <w:spacing w:before="120" w:after="60"/>
      <w:outlineLvl w:val="1"/>
    </w:pPr>
    <w:rPr>
      <w:rFonts w:ascii="Times New Roman" w:eastAsia="Times New Roman" w:hAnsi="Times New Roman" w:cs="Times New Roman"/>
      <w:i/>
    </w:rPr>
  </w:style>
  <w:style w:type="paragraph" w:styleId="Heading3">
    <w:name w:val="heading 3"/>
    <w:basedOn w:val="Normal"/>
    <w:next w:val="Normal"/>
    <w:pPr>
      <w:jc w:val="both"/>
      <w:outlineLvl w:val="2"/>
    </w:pPr>
    <w:rPr>
      <w:rFonts w:ascii="Times New Roman" w:eastAsia="Times New Roman" w:hAnsi="Times New Roman" w:cs="Times New Roman"/>
      <w:i/>
    </w:rPr>
  </w:style>
  <w:style w:type="paragraph" w:styleId="Heading4">
    <w:name w:val="heading 4"/>
    <w:basedOn w:val="Normal"/>
    <w:next w:val="Normal"/>
    <w:pPr>
      <w:spacing w:before="40" w:after="40"/>
      <w:jc w:val="both"/>
      <w:outlineLvl w:val="3"/>
    </w:pPr>
    <w:rPr>
      <w:rFonts w:ascii="Times New Roman" w:eastAsia="Times New Roman" w:hAnsi="Times New Roman" w:cs="Times New Roman"/>
      <w:i/>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next w:val="TableNormal1"/>
    <w:qFormat/>
    <w:pPr>
      <w:suppressAutoHyphens/>
      <w:spacing w:line="1" w:lineRule="atLeast"/>
      <w:ind w:leftChars="-1" w:left="-1" w:hangingChars="1"/>
      <w:textDirection w:val="btLr"/>
      <w:textAlignment w:val="top"/>
      <w:outlineLvl w:val="0"/>
    </w:pPr>
    <w:rPr>
      <w:position w:val="-1"/>
    </w:rPr>
    <w:tblPr>
      <w:tblCellMar>
        <w:top w:w="0" w:type="dxa"/>
        <w:left w:w="0" w:type="dxa"/>
        <w:bottom w:w="0" w:type="dxa"/>
        <w:right w:w="0" w:type="dxa"/>
      </w:tblCellMar>
    </w:tblPr>
  </w:style>
  <w:style w:type="character" w:styleId="Strong">
    <w:name w:val="Strong"/>
    <w:uiPriority w:val="22"/>
    <w:qFormat/>
    <w:rPr>
      <w:b/>
      <w:b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customStyle="1" w:styleId="AbstractText">
    <w:name w:val="Abstract Text"/>
    <w:basedOn w:val="Normal"/>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qFormat/>
    <w:pPr>
      <w:spacing w:after="120"/>
    </w:pPr>
  </w:style>
  <w:style w:type="character" w:customStyle="1" w:styleId="BodyTextChar">
    <w:name w:val="Body Text Char"/>
    <w:basedOn w:val="DefaultParagraphFont"/>
    <w:rPr>
      <w:w w:val="100"/>
      <w:position w:val="-1"/>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position w:val="-1"/>
      <w:sz w:val="22"/>
      <w:szCs w:val="22"/>
    </w:rPr>
  </w:style>
  <w:style w:type="character" w:customStyle="1" w:styleId="NoSpacingChar">
    <w:name w:val="No Spacing Char"/>
    <w:rPr>
      <w:w w:val="100"/>
      <w:position w:val="-1"/>
      <w:sz w:val="22"/>
      <w:szCs w:val="22"/>
      <w:effect w:val="none"/>
      <w:vertAlign w:val="baseline"/>
      <w:cs w:val="0"/>
      <w:em w:val="none"/>
    </w:rPr>
  </w:style>
  <w:style w:type="paragraph" w:customStyle="1" w:styleId="BodytextMaJER">
    <w:name w:val="Body text MaJER"/>
    <w:basedOn w:val="Normal"/>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2"/>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character" w:customStyle="1" w:styleId="Heading1Char">
    <w:name w:val="Heading 1 Char"/>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pPr>
      <w:keepLines/>
      <w:suppressAutoHyphens/>
      <w:spacing w:before="200" w:after="240" w:line="200" w:lineRule="atLeast"/>
      <w:ind w:leftChars="-1" w:left="-1" w:hangingChars="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pPr>
      <w:spacing w:after="80"/>
    </w:pPr>
    <w:rPr>
      <w:rFonts w:ascii="Times New Roman" w:eastAsia="SimSun" w:hAnsi="Times New Roman" w:cs="Times New Roman"/>
      <w:noProof/>
    </w:r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CellMar>
        <w:left w:w="115"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34"/>
    <w:qFormat/>
    <w:rsid w:val="0097457B"/>
    <w:pPr>
      <w:ind w:left="720"/>
      <w:contextualSpacing/>
    </w:p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uiPriority w:val="34"/>
    <w:qFormat/>
    <w:locked/>
    <w:rsid w:val="0097457B"/>
    <w:rPr>
      <w:position w:val="-1"/>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NormalWeb">
    <w:name w:val="Normal (Web)"/>
    <w:basedOn w:val="Normal"/>
    <w:uiPriority w:val="99"/>
    <w:semiHidden/>
    <w:unhideWhenUsed/>
    <w:rsid w:val="00FB3E8B"/>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FB3E8B"/>
    <w:rPr>
      <w:i/>
      <w:iCs/>
    </w:rPr>
  </w:style>
  <w:style w:type="paragraph" w:styleId="FootnoteText">
    <w:name w:val="footnote text"/>
    <w:basedOn w:val="Normal"/>
    <w:link w:val="FootnoteTextChar"/>
    <w:uiPriority w:val="99"/>
    <w:rsid w:val="00FB3E8B"/>
    <w:pPr>
      <w:ind w:firstLine="0"/>
    </w:pPr>
    <w:rPr>
      <w:rFonts w:ascii="Times New Roman" w:eastAsia="Times New Roman" w:hAnsi="Times New Roman" w:cs="Times New Roman"/>
    </w:rPr>
  </w:style>
  <w:style w:type="character" w:customStyle="1" w:styleId="FootnoteTextChar">
    <w:name w:val="Footnote Text Char"/>
    <w:basedOn w:val="DefaultParagraphFont"/>
    <w:link w:val="FootnoteText"/>
    <w:uiPriority w:val="99"/>
    <w:rsid w:val="00FB3E8B"/>
    <w:rPr>
      <w:rFonts w:ascii="Times New Roman" w:eastAsia="Times New Roman" w:hAnsi="Times New Roman" w:cs="Times New Roman"/>
      <w:lang w:val="en-US"/>
    </w:rPr>
  </w:style>
  <w:style w:type="character" w:styleId="FootnoteReference">
    <w:name w:val="footnote reference"/>
    <w:uiPriority w:val="99"/>
    <w:rsid w:val="00FB3E8B"/>
    <w:rPr>
      <w:vertAlign w:val="superscript"/>
    </w:rPr>
  </w:style>
  <w:style w:type="character" w:styleId="UnresolvedMention">
    <w:name w:val="Unresolved Mention"/>
    <w:basedOn w:val="DefaultParagraphFont"/>
    <w:uiPriority w:val="99"/>
    <w:semiHidden/>
    <w:unhideWhenUsed/>
    <w:rsid w:val="00B81E45"/>
    <w:rPr>
      <w:color w:val="605E5C"/>
      <w:shd w:val="clear" w:color="auto" w:fill="E1DFDD"/>
    </w:rPr>
  </w:style>
  <w:style w:type="paragraph" w:customStyle="1" w:styleId="Caption1">
    <w:name w:val="Caption1"/>
    <w:basedOn w:val="Normal"/>
    <w:next w:val="Normal"/>
    <w:uiPriority w:val="35"/>
    <w:unhideWhenUsed/>
    <w:qFormat/>
    <w:rsid w:val="00E90CCF"/>
    <w:pPr>
      <w:spacing w:after="200"/>
      <w:ind w:firstLine="0"/>
    </w:pPr>
    <w:rPr>
      <w:rFonts w:cs="Arial"/>
      <w:i/>
      <w:iCs/>
      <w:color w:val="44546A"/>
      <w:kern w:val="2"/>
      <w:sz w:val="18"/>
      <w:szCs w:val="18"/>
      <w:lang w:val="en-ID"/>
      <w14:ligatures w14:val="standardContextual"/>
    </w:rPr>
  </w:style>
  <w:style w:type="table" w:customStyle="1" w:styleId="PlainTable21">
    <w:name w:val="Plain Table 21"/>
    <w:basedOn w:val="TableNormal"/>
    <w:next w:val="PlainTable2"/>
    <w:uiPriority w:val="42"/>
    <w:rsid w:val="00E90CCF"/>
    <w:pPr>
      <w:ind w:firstLine="0"/>
    </w:pPr>
    <w:rPr>
      <w:rFonts w:cs="Arial"/>
      <w:kern w:val="2"/>
      <w:sz w:val="22"/>
      <w:szCs w:val="22"/>
      <w:lang w:val="en-ID"/>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E90CC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rsid w:val="00EC4C39"/>
    <w:pPr>
      <w:widowControl w:val="0"/>
      <w:autoSpaceDE w:val="0"/>
      <w:autoSpaceDN w:val="0"/>
      <w:spacing w:line="227" w:lineRule="exact"/>
      <w:ind w:firstLine="0"/>
      <w:jc w:val="center"/>
    </w:pPr>
    <w:rPr>
      <w:rFonts w:ascii="Times New Roman" w:eastAsia="Times New Roman" w:hAnsi="Times New Roman" w:cs="Times New Roman"/>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83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hyperlink" Target="https://doi.org/10.1038/nrdp.2017.105" TargetMode="External"/><Relationship Id="rId26" Type="http://schemas.openxmlformats.org/officeDocument/2006/relationships/hyperlink" Target="https://doi.org/10.1186/s13063-021-05485-9" TargetMode="External"/><Relationship Id="rId3" Type="http://schemas.openxmlformats.org/officeDocument/2006/relationships/numbering" Target="numbering.xml"/><Relationship Id="rId21" Type="http://schemas.openxmlformats.org/officeDocument/2006/relationships/hyperlink" Target="https://doi.org/10.4135/9781071817958" TargetMode="External"/><Relationship Id="rId7" Type="http://schemas.openxmlformats.org/officeDocument/2006/relationships/footnotes" Target="footnotes.xml"/><Relationship Id="rId12" Type="http://schemas.openxmlformats.org/officeDocument/2006/relationships/hyperlink" Target="mailto:eunikegrac10@gmail.com" TargetMode="External"/><Relationship Id="rId17" Type="http://schemas.openxmlformats.org/officeDocument/2006/relationships/hyperlink" Target="https://doi.org/10.1634/theoncologist.2019-0501" TargetMode="External"/><Relationship Id="rId25" Type="http://schemas.openxmlformats.org/officeDocument/2006/relationships/hyperlink" Target="https://doi.org/10.21037/tlcr-22-473"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016/j.phrs.2012.08.007" TargetMode="External"/><Relationship Id="rId20" Type="http://schemas.openxmlformats.org/officeDocument/2006/relationships/hyperlink" Target="https://doi.org/10.1249/MSS.00000000000021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24" Type="http://schemas.openxmlformats.org/officeDocument/2006/relationships/hyperlink" Target="https://doi.org/10.1016/j.ejca.2020.02.046"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doi.org/10.1371/journal.pone.0322192" TargetMode="External"/><Relationship Id="rId28" Type="http://schemas.openxmlformats.org/officeDocument/2006/relationships/header" Target="header1.xml"/><Relationship Id="rId10" Type="http://schemas.openxmlformats.org/officeDocument/2006/relationships/hyperlink" Target="mailto:journaljoecy@gmail.com" TargetMode="External"/><Relationship Id="rId19" Type="http://schemas.openxmlformats.org/officeDocument/2006/relationships/hyperlink" Target="https://doi.org/10.3322/caac.21492"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footer" Target="footer1.xml"/><Relationship Id="rId22" Type="http://schemas.openxmlformats.org/officeDocument/2006/relationships/hyperlink" Target="https://doi.org/10.1038/ncponc041" TargetMode="External"/><Relationship Id="rId27" Type="http://schemas.openxmlformats.org/officeDocument/2006/relationships/hyperlink" Target="https://doi.org/10.1234/abcd" TargetMode="External"/><Relationship Id="rId30" Type="http://schemas.openxmlformats.org/officeDocument/2006/relationships/header" Target="header2.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yEk7qymDF6Tf9gBhQO8CitAnQ==">CgMxLjAyCmlkLjMwajB6bGwyCGguZ2pkZ3hzMg5oLmEwd2E3aXhxazdlejIOaC5zNDl2OTJ2M3RqcXoyDmgueDk5c2ptYTFmN2hmMg5oLjN3MzdiMHJyZXJ2ZTIOaC4yc2tkNnZyODFqNHUyDmguaWxpZGU5Nnl3OGtvMg5oLnZlamZibHk5dXh4YTIOaC45dDVyMnNzOTJ1Y2gyDmgud2pqMncwczI3YWduOAByITFrS1AyWElERFcwU29MYlUzVG16UDVvR1ZRVlB5RFZVU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05FBE7-436D-4C2D-99B4-3FDE2B548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4901</Words>
  <Characters>27936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5</cp:revision>
  <dcterms:created xsi:type="dcterms:W3CDTF">2026-02-03T14:07:00Z</dcterms:created>
  <dcterms:modified xsi:type="dcterms:W3CDTF">2026-02-06T04:32:00Z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cb98aae4-98a9-3fd3-b3e8-f6cbdc302d1f</vt:lpwstr>
  </property>
  <property fmtid="{D5CDD505-2E9C-101B-9397-08002B2CF9AE}" pid="24" name="Mendeley Citation Style_1">
    <vt:lpwstr>http://www.zotero.org/styles/apa</vt:lpwstr>
  </property>
</Properties>
</file>